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7A67" w14:textId="77777777" w:rsidR="001672E4" w:rsidRDefault="00CE5AB6">
      <w:pPr>
        <w:spacing w:after="0"/>
        <w:jc w:val="center"/>
      </w:pPr>
      <w:r>
        <w:rPr>
          <w:noProof/>
        </w:rPr>
        <w:drawing>
          <wp:inline distT="0" distB="0" distL="0" distR="0" wp14:anchorId="1B4894E8" wp14:editId="4A855263">
            <wp:extent cx="2482712" cy="1631041"/>
            <wp:effectExtent l="0" t="0" r="0" b="0"/>
            <wp:docPr id="2" name="image1.png" descr="Quotes About Reflection That Help Connect the Dots » Flâneu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Quotes About Reflection That Help Connect the Dots » Flâneur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712" cy="1631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99EC8" w14:textId="77777777" w:rsidR="001672E4" w:rsidRDefault="001672E4">
      <w:pPr>
        <w:spacing w:after="0"/>
      </w:pPr>
    </w:p>
    <w:p w14:paraId="1C7D1E93" w14:textId="77777777" w:rsidR="001672E4" w:rsidRDefault="001672E4">
      <w:pPr>
        <w:spacing w:after="0"/>
      </w:pPr>
    </w:p>
    <w:p w14:paraId="070A9E8F" w14:textId="77777777" w:rsidR="001672E4" w:rsidRDefault="001672E4">
      <w:pPr>
        <w:spacing w:after="0"/>
      </w:pPr>
    </w:p>
    <w:p w14:paraId="3D718D6B" w14:textId="77777777" w:rsidR="001672E4" w:rsidRDefault="00CE5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Meeting 1</w:t>
      </w:r>
    </w:p>
    <w:p w14:paraId="484B27EC" w14:textId="77777777" w:rsidR="001672E4" w:rsidRDefault="00CE5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SSIP Reflective Supervision Workgroup</w:t>
      </w:r>
    </w:p>
    <w:p w14:paraId="064771B6" w14:textId="77777777" w:rsidR="001672E4" w:rsidRDefault="00CE5AB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2/28/2023</w:t>
      </w:r>
    </w:p>
    <w:p w14:paraId="7DE218F2" w14:textId="77777777" w:rsidR="001672E4" w:rsidRDefault="001672E4">
      <w:pPr>
        <w:spacing w:after="0"/>
        <w:rPr>
          <w:sz w:val="24"/>
          <w:szCs w:val="24"/>
        </w:rPr>
      </w:pPr>
    </w:p>
    <w:p w14:paraId="65E40734" w14:textId="77777777" w:rsidR="001672E4" w:rsidRDefault="00CE5A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Attendees: </w:t>
      </w:r>
    </w:p>
    <w:tbl>
      <w:tblPr>
        <w:tblStyle w:val="a"/>
        <w:tblW w:w="9345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672E4" w14:paraId="5D16E459" w14:textId="77777777">
        <w:trPr>
          <w:trHeight w:val="366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77F54980" w14:textId="77777777" w:rsidR="001672E4" w:rsidRDefault="00CE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Richard Corbett, Erin Austin, Johanna </w:t>
            </w:r>
            <w:proofErr w:type="spellStart"/>
            <w:r>
              <w:rPr>
                <w:color w:val="222222"/>
                <w:sz w:val="24"/>
                <w:szCs w:val="24"/>
              </w:rPr>
              <w:t>VanDoren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-Jackson, April Birchfield, Adele </w:t>
            </w:r>
            <w:proofErr w:type="spellStart"/>
            <w:r>
              <w:rPr>
                <w:color w:val="222222"/>
                <w:sz w:val="24"/>
                <w:szCs w:val="24"/>
              </w:rPr>
              <w:t>Rohner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Judy Martens, Melinda </w:t>
            </w:r>
            <w:proofErr w:type="spellStart"/>
            <w:r>
              <w:rPr>
                <w:color w:val="222222"/>
                <w:sz w:val="24"/>
                <w:szCs w:val="24"/>
              </w:rPr>
              <w:t>Whitehurts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Jean </w:t>
            </w:r>
            <w:proofErr w:type="spellStart"/>
            <w:r>
              <w:rPr>
                <w:color w:val="222222"/>
                <w:sz w:val="24"/>
                <w:szCs w:val="24"/>
              </w:rPr>
              <w:t>Odachowski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, Jaylene Trueblood, Tracy Walters, and Lorelei </w:t>
            </w:r>
            <w:proofErr w:type="spellStart"/>
            <w:r>
              <w:rPr>
                <w:color w:val="222222"/>
                <w:sz w:val="24"/>
                <w:szCs w:val="24"/>
              </w:rPr>
              <w:t>Pisha</w:t>
            </w:r>
            <w:proofErr w:type="spellEnd"/>
          </w:p>
          <w:p w14:paraId="1811BE1F" w14:textId="77777777" w:rsidR="001672E4" w:rsidRDefault="0016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</w:p>
          <w:p w14:paraId="7BB7603C" w14:textId="77777777" w:rsidR="001672E4" w:rsidRDefault="00CE5AB6">
            <w:p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Agenda with Notes:</w:t>
            </w:r>
          </w:p>
          <w:p w14:paraId="44F3C7BF" w14:textId="77777777" w:rsidR="001672E4" w:rsidRDefault="00CE5AB6">
            <w:pPr>
              <w:numPr>
                <w:ilvl w:val="0"/>
                <w:numId w:val="2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Welcome and Introductions</w:t>
            </w:r>
          </w:p>
          <w:p w14:paraId="5742BE3B" w14:textId="77777777" w:rsidR="001672E4" w:rsidRDefault="001672E4">
            <w:pPr>
              <w:spacing w:after="0" w:line="327" w:lineRule="auto"/>
              <w:rPr>
                <w:color w:val="222222"/>
                <w:sz w:val="24"/>
                <w:szCs w:val="24"/>
              </w:rPr>
            </w:pPr>
          </w:p>
          <w:p w14:paraId="3688C117" w14:textId="77777777" w:rsidR="001672E4" w:rsidRDefault="00CE5AB6">
            <w:pPr>
              <w:numPr>
                <w:ilvl w:val="0"/>
                <w:numId w:val="2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The Why!</w:t>
            </w:r>
          </w:p>
          <w:p w14:paraId="37645929" w14:textId="0CF47D1E" w:rsidR="001672E4" w:rsidRDefault="00CE5AB6">
            <w:pPr>
              <w:spacing w:after="0" w:line="327" w:lineRule="auto"/>
              <w:ind w:left="7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Tracy led a discussion on why RS is critical for the promotion of IECMH. </w:t>
            </w:r>
            <w:r w:rsidR="001D4874">
              <w:rPr>
                <w:color w:val="222222"/>
                <w:sz w:val="24"/>
                <w:szCs w:val="24"/>
              </w:rPr>
              <w:t>The following</w:t>
            </w:r>
            <w:r>
              <w:rPr>
                <w:color w:val="222222"/>
                <w:sz w:val="24"/>
                <w:szCs w:val="24"/>
              </w:rPr>
              <w:t xml:space="preserve"> key points about “The Why!” were emphasized by group members:</w:t>
            </w:r>
          </w:p>
          <w:p w14:paraId="1FBD5084" w14:textId="77777777" w:rsidR="001672E4" w:rsidRDefault="00CE5AB6">
            <w:pPr>
              <w:numPr>
                <w:ilvl w:val="0"/>
                <w:numId w:val="4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Link between quality of services and the provision of RS to service providers</w:t>
            </w:r>
          </w:p>
          <w:p w14:paraId="3CC68A88" w14:textId="77777777" w:rsidR="001672E4" w:rsidRDefault="00CE5AB6">
            <w:pPr>
              <w:numPr>
                <w:ilvl w:val="0"/>
                <w:numId w:val="4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Link between RS and retention of personnel</w:t>
            </w:r>
          </w:p>
          <w:p w14:paraId="27BD4E30" w14:textId="77777777" w:rsidR="001672E4" w:rsidRDefault="00CE5AB6">
            <w:pPr>
              <w:numPr>
                <w:ilvl w:val="0"/>
                <w:numId w:val="4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Economic benefits of RS (in relation to the expense of attrition)</w:t>
            </w:r>
          </w:p>
          <w:p w14:paraId="246D458E" w14:textId="77777777" w:rsidR="001672E4" w:rsidRDefault="00CE5AB6">
            <w:pPr>
              <w:numPr>
                <w:ilvl w:val="0"/>
                <w:numId w:val="4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Importance of a sustainable, systemic, embedded RS framework </w:t>
            </w:r>
          </w:p>
          <w:p w14:paraId="0F122252" w14:textId="77777777" w:rsidR="001672E4" w:rsidRDefault="001672E4">
            <w:pPr>
              <w:spacing w:after="0" w:line="327" w:lineRule="auto"/>
              <w:ind w:left="1440"/>
              <w:rPr>
                <w:color w:val="222222"/>
                <w:sz w:val="24"/>
                <w:szCs w:val="24"/>
              </w:rPr>
            </w:pPr>
          </w:p>
          <w:p w14:paraId="45BB4D13" w14:textId="77777777" w:rsidR="001672E4" w:rsidRDefault="00CE5AB6">
            <w:pPr>
              <w:numPr>
                <w:ilvl w:val="0"/>
                <w:numId w:val="2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What do we know about RS?</w:t>
            </w:r>
          </w:p>
          <w:p w14:paraId="3D88AEF7" w14:textId="77777777" w:rsidR="001672E4" w:rsidRDefault="00CE5AB6">
            <w:pPr>
              <w:spacing w:after="0" w:line="327" w:lineRule="auto"/>
              <w:ind w:left="7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Tracy facilitated conversation about what RS is and looks like. Group members shared experiences with RS, critical components of RS, and resources supporting IECMH providers and supervisors. Key topics included:</w:t>
            </w:r>
          </w:p>
          <w:p w14:paraId="3FAD0422" w14:textId="77777777" w:rsidR="001672E4" w:rsidRDefault="00CE5AB6">
            <w:pPr>
              <w:numPr>
                <w:ilvl w:val="0"/>
                <w:numId w:val="1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RS leads to improved quality of services</w:t>
            </w:r>
          </w:p>
          <w:p w14:paraId="6B84745A" w14:textId="77777777" w:rsidR="001672E4" w:rsidRDefault="00CE5AB6">
            <w:pPr>
              <w:numPr>
                <w:ilvl w:val="0"/>
                <w:numId w:val="1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Importance of family systems focus on the provision of IECMH, rather than viewing the child and caregiver and context as all separate.</w:t>
            </w:r>
          </w:p>
          <w:p w14:paraId="53707F07" w14:textId="77777777" w:rsidR="001672E4" w:rsidRDefault="001D4874">
            <w:pPr>
              <w:numPr>
                <w:ilvl w:val="0"/>
                <w:numId w:val="1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hyperlink r:id="rId7">
              <w:r w:rsidR="00CE5AB6">
                <w:rPr>
                  <w:color w:val="1155CC"/>
                  <w:sz w:val="24"/>
                  <w:szCs w:val="24"/>
                  <w:u w:val="single"/>
                </w:rPr>
                <w:t>VAIMH’s</w:t>
              </w:r>
            </w:hyperlink>
            <w:r w:rsidR="00CE5AB6">
              <w:rPr>
                <w:color w:val="222222"/>
                <w:sz w:val="24"/>
                <w:szCs w:val="24"/>
              </w:rPr>
              <w:t xml:space="preserve"> resources to support providers</w:t>
            </w:r>
          </w:p>
          <w:p w14:paraId="1DC623C2" w14:textId="77777777" w:rsidR="001672E4" w:rsidRDefault="00CE5AB6">
            <w:pPr>
              <w:numPr>
                <w:ilvl w:val="0"/>
                <w:numId w:val="1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Programs with embedded RS systems </w:t>
            </w:r>
          </w:p>
          <w:p w14:paraId="555698C0" w14:textId="77777777" w:rsidR="001672E4" w:rsidRDefault="001672E4">
            <w:pPr>
              <w:spacing w:after="0" w:line="327" w:lineRule="auto"/>
              <w:ind w:left="720"/>
              <w:rPr>
                <w:color w:val="222222"/>
                <w:sz w:val="24"/>
                <w:szCs w:val="24"/>
              </w:rPr>
            </w:pPr>
          </w:p>
          <w:p w14:paraId="762EDE54" w14:textId="77777777" w:rsidR="001672E4" w:rsidRDefault="00CE5AB6">
            <w:pPr>
              <w:numPr>
                <w:ilvl w:val="0"/>
                <w:numId w:val="2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What would we like to learn about RS?</w:t>
            </w:r>
          </w:p>
          <w:p w14:paraId="7F1441E2" w14:textId="1A70A857" w:rsidR="001672E4" w:rsidRDefault="00CE5AB6">
            <w:pPr>
              <w:spacing w:after="0" w:line="327" w:lineRule="auto"/>
              <w:ind w:left="7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The group is knowledgeable about IECM</w:t>
            </w:r>
            <w:r w:rsidR="001D4874">
              <w:rPr>
                <w:color w:val="222222"/>
                <w:sz w:val="24"/>
                <w:szCs w:val="24"/>
              </w:rPr>
              <w:t>H</w:t>
            </w:r>
            <w:r>
              <w:rPr>
                <w:color w:val="222222"/>
                <w:sz w:val="24"/>
                <w:szCs w:val="24"/>
              </w:rPr>
              <w:t xml:space="preserve"> and RS in support of IECMH providers. They would like to learn about effective, sustainable RS system components and how those are being embedded with EI systems - we want to find out what’s working, what the barriers are, and how this could work in VA.</w:t>
            </w:r>
          </w:p>
          <w:p w14:paraId="47308798" w14:textId="77777777" w:rsidR="001672E4" w:rsidRDefault="001672E4">
            <w:pPr>
              <w:spacing w:after="0" w:line="327" w:lineRule="auto"/>
              <w:rPr>
                <w:color w:val="222222"/>
                <w:sz w:val="24"/>
                <w:szCs w:val="24"/>
              </w:rPr>
            </w:pPr>
          </w:p>
          <w:p w14:paraId="2BCE9BE0" w14:textId="77777777" w:rsidR="001672E4" w:rsidRDefault="00CE5AB6">
            <w:pPr>
              <w:numPr>
                <w:ilvl w:val="0"/>
                <w:numId w:val="2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How might we envision RS in EI systems?</w:t>
            </w:r>
          </w:p>
          <w:p w14:paraId="303EA90F" w14:textId="77777777" w:rsidR="001672E4" w:rsidRDefault="00CE5AB6">
            <w:pPr>
              <w:spacing w:after="0" w:line="327" w:lineRule="auto"/>
              <w:ind w:left="7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The group participated in a Padlet activity which included listing how members envisioned RS within the EI System. Responses included the following:</w:t>
            </w:r>
          </w:p>
          <w:p w14:paraId="6EE85F44" w14:textId="77777777" w:rsidR="001672E4" w:rsidRDefault="00CE5AB6">
            <w:pPr>
              <w:numPr>
                <w:ilvl w:val="0"/>
                <w:numId w:val="5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Funding opportunities to support the endorsement and RS process</w:t>
            </w:r>
          </w:p>
          <w:p w14:paraId="639BA418" w14:textId="77777777" w:rsidR="001672E4" w:rsidRDefault="00CE5AB6">
            <w:pPr>
              <w:numPr>
                <w:ilvl w:val="0"/>
                <w:numId w:val="5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Regional and statewide RS support group(s)</w:t>
            </w:r>
          </w:p>
          <w:p w14:paraId="64F3183D" w14:textId="77777777" w:rsidR="001672E4" w:rsidRDefault="00CE5AB6">
            <w:pPr>
              <w:numPr>
                <w:ilvl w:val="0"/>
                <w:numId w:val="5"/>
              </w:numPr>
              <w:spacing w:after="0" w:line="327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Ongoing training model (not a one and done type model)</w:t>
            </w:r>
          </w:p>
          <w:p w14:paraId="5CF5CF19" w14:textId="77777777" w:rsidR="001672E4" w:rsidRDefault="001672E4">
            <w:pPr>
              <w:spacing w:after="0" w:line="327" w:lineRule="auto"/>
              <w:rPr>
                <w:color w:val="222222"/>
                <w:sz w:val="24"/>
                <w:szCs w:val="24"/>
              </w:rPr>
            </w:pPr>
          </w:p>
        </w:tc>
      </w:tr>
      <w:tr w:rsidR="001672E4" w14:paraId="6352386D" w14:textId="77777777">
        <w:trPr>
          <w:trHeight w:val="366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5243043F" w14:textId="77777777" w:rsidR="001672E4" w:rsidRDefault="00CE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lastRenderedPageBreak/>
              <w:t>Next Steps:</w:t>
            </w:r>
          </w:p>
          <w:p w14:paraId="7006BD86" w14:textId="77777777" w:rsidR="001672E4" w:rsidRDefault="00CE5A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Our next meeting will be March 28th from 12 - 1pm.</w:t>
            </w:r>
          </w:p>
          <w:p w14:paraId="4DA1B950" w14:textId="77777777" w:rsidR="001672E4" w:rsidRDefault="00CE5A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Please use the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Padlet for our group</w:t>
              </w:r>
            </w:hyperlink>
            <w:r>
              <w:rPr>
                <w:color w:val="222222"/>
                <w:sz w:val="24"/>
                <w:szCs w:val="24"/>
              </w:rPr>
              <w:t xml:space="preserve"> to contribute additional ideas, share resources, etc. between now and our next meeting. You will find additional columns created for resource sharing. </w:t>
            </w:r>
          </w:p>
          <w:p w14:paraId="504F00D0" w14:textId="77777777" w:rsidR="001672E4" w:rsidRDefault="00CE5A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Please reach out to Tracy with feedback, additional ideas, etc. </w:t>
            </w:r>
          </w:p>
          <w:p w14:paraId="01DF01BC" w14:textId="77777777" w:rsidR="001672E4" w:rsidRDefault="0016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</w:p>
        </w:tc>
      </w:tr>
      <w:tr w:rsidR="001672E4" w14:paraId="420A8BAE" w14:textId="77777777">
        <w:trPr>
          <w:trHeight w:val="3660"/>
        </w:trPr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644B911A" w14:textId="77777777" w:rsidR="001672E4" w:rsidRDefault="00167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4"/>
                <w:szCs w:val="24"/>
              </w:rPr>
            </w:pPr>
          </w:p>
        </w:tc>
      </w:tr>
    </w:tbl>
    <w:p w14:paraId="299D6801" w14:textId="77777777" w:rsidR="001672E4" w:rsidRDefault="001672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6ABC762" w14:textId="77777777" w:rsidR="001672E4" w:rsidRDefault="001672E4">
      <w:pPr>
        <w:spacing w:after="0"/>
      </w:pPr>
    </w:p>
    <w:p w14:paraId="570CA5FC" w14:textId="77777777" w:rsidR="001672E4" w:rsidRDefault="00CE5AB6">
      <w:pPr>
        <w:spacing w:after="0"/>
      </w:pPr>
      <w:r>
        <w:t xml:space="preserve">    </w:t>
      </w:r>
    </w:p>
    <w:sectPr w:rsidR="001672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33"/>
    <w:multiLevelType w:val="multilevel"/>
    <w:tmpl w:val="95B48F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89B6009"/>
    <w:multiLevelType w:val="multilevel"/>
    <w:tmpl w:val="28E64A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07D0684"/>
    <w:multiLevelType w:val="multilevel"/>
    <w:tmpl w:val="4D6A5D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6B4520"/>
    <w:multiLevelType w:val="multilevel"/>
    <w:tmpl w:val="57DADB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B8F1F95"/>
    <w:multiLevelType w:val="multilevel"/>
    <w:tmpl w:val="7994B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E4"/>
    <w:rsid w:val="00142578"/>
    <w:rsid w:val="001672E4"/>
    <w:rsid w:val="001D4874"/>
    <w:rsid w:val="00973AC1"/>
    <w:rsid w:val="00C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9D2D"/>
  <w15:docId w15:val="{AFB1B707-91EE-4778-9A93-43BDA202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520D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pishale/reflective-supervision-workgroup-srhoz7jy3f4ymluj" TargetMode="External"/><Relationship Id="rId3" Type="http://schemas.openxmlformats.org/officeDocument/2006/relationships/styles" Target="styles.xml"/><Relationship Id="rId7" Type="http://schemas.openxmlformats.org/officeDocument/2006/relationships/hyperlink" Target="https://ecmhva.partnership.vcu.edu/va-association-for-infant-mh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tA/VDnSmiYqy+ZLOEx0kyWOmCw==">AMUW2mXiIU4VRubf6axm9lLUV/UwL/EmUoa9ZUQeZCTM1x5iVIkELmwqUP6iXqpwM3Lv4KWkDdY/bEAc4JABr1OSEea+7buCkeYCGa+LfRx6xtMgAiuXDXY=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4D237E-3EDB-40A5-8200-608DA60842B9}"/>
</file>

<file path=customXml/itemProps3.xml><?xml version="1.0" encoding="utf-8"?>
<ds:datastoreItem xmlns:ds="http://schemas.openxmlformats.org/officeDocument/2006/customXml" ds:itemID="{99D256E3-610A-4284-BC35-EFCF505CD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2045</Characters>
  <Application>Microsoft Office Word</Application>
  <DocSecurity>0</DocSecurity>
  <Lines>17</Lines>
  <Paragraphs>4</Paragraphs>
  <ScaleCrop>false</ScaleCrop>
  <Company>Virginia Commonwealth University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Tracy (DBHDS)</dc:creator>
  <cp:lastModifiedBy>Walters, Tracy (DBHDS)</cp:lastModifiedBy>
  <cp:revision>2</cp:revision>
  <dcterms:created xsi:type="dcterms:W3CDTF">2023-03-01T16:29:00Z</dcterms:created>
  <dcterms:modified xsi:type="dcterms:W3CDTF">2023-03-01T16:29:00Z</dcterms:modified>
</cp:coreProperties>
</file>