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4AD58" w14:textId="77777777" w:rsidR="0007314E" w:rsidRDefault="0007314E" w:rsidP="0007314E">
      <w:pPr>
        <w:spacing w:after="0"/>
        <w:jc w:val="center"/>
        <w:rPr>
          <w:color w:val="0000CC"/>
        </w:rPr>
      </w:pPr>
      <w:r w:rsidRPr="00BD6E88">
        <w:rPr>
          <w:noProof/>
          <w:color w:val="0000CC"/>
        </w:rPr>
        <w:drawing>
          <wp:inline distT="0" distB="0" distL="0" distR="0" wp14:anchorId="7CF16335" wp14:editId="5377E409">
            <wp:extent cx="885825" cy="819150"/>
            <wp:effectExtent l="0" t="0" r="0" b="0"/>
            <wp:docPr id="1" name="Picture 1" descr="letterhead rev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rev_Pic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85825" cy="819150"/>
                    </a:xfrm>
                    <a:prstGeom prst="rect">
                      <a:avLst/>
                    </a:prstGeom>
                    <a:noFill/>
                    <a:ln>
                      <a:noFill/>
                    </a:ln>
                  </pic:spPr>
                </pic:pic>
              </a:graphicData>
            </a:graphic>
          </wp:inline>
        </w:drawing>
      </w:r>
    </w:p>
    <w:p w14:paraId="0CF8B51D" w14:textId="77777777" w:rsidR="00046F17" w:rsidRPr="00BD6E88" w:rsidRDefault="00046F17" w:rsidP="0007314E">
      <w:pPr>
        <w:spacing w:after="0"/>
        <w:jc w:val="center"/>
        <w:rPr>
          <w:color w:val="0000CC"/>
        </w:rPr>
      </w:pPr>
    </w:p>
    <w:p w14:paraId="3CFAD0D3" w14:textId="77777777" w:rsidR="0007314E" w:rsidRPr="0007314E" w:rsidRDefault="0007314E" w:rsidP="0007314E">
      <w:pPr>
        <w:spacing w:after="0" w:line="240" w:lineRule="auto"/>
        <w:jc w:val="center"/>
        <w:rPr>
          <w:smallCaps/>
          <w:outline/>
          <w:color w:val="0000CC"/>
          <w:sz w:val="40"/>
          <w14:textOutline w14:w="9525" w14:cap="flat" w14:cmpd="sng" w14:algn="ctr">
            <w14:solidFill>
              <w14:srgbClr w14:val="0000CC"/>
            </w14:solidFill>
            <w14:prstDash w14:val="solid"/>
            <w14:round/>
          </w14:textOutline>
          <w14:textFill>
            <w14:noFill/>
          </w14:textFill>
        </w:rPr>
      </w:pPr>
      <w:r w:rsidRPr="0007314E">
        <w:rPr>
          <w:smallCaps/>
          <w:outline/>
          <w:color w:val="0000CC"/>
          <w:sz w:val="40"/>
          <w14:textOutline w14:w="9525" w14:cap="flat" w14:cmpd="sng" w14:algn="ctr">
            <w14:solidFill>
              <w14:srgbClr w14:val="0000CC"/>
            </w14:solidFill>
            <w14:prstDash w14:val="solid"/>
            <w14:round/>
          </w14:textOutline>
          <w14:textFill>
            <w14:noFill/>
          </w14:textFill>
        </w:rPr>
        <w:t>Commonwealth of Virginia</w:t>
      </w:r>
    </w:p>
    <w:p w14:paraId="7D2A0FE8" w14:textId="77777777" w:rsidR="0007314E" w:rsidRPr="00BD6E88" w:rsidRDefault="0007314E" w:rsidP="0007314E">
      <w:pPr>
        <w:spacing w:after="0" w:line="240" w:lineRule="auto"/>
        <w:jc w:val="center"/>
        <w:rPr>
          <w:b/>
          <w:i/>
          <w:color w:val="0000CC"/>
        </w:rPr>
      </w:pPr>
      <w:r w:rsidRPr="00BD6E88">
        <w:rPr>
          <w:b/>
          <w:i/>
          <w:color w:val="0000CC"/>
        </w:rPr>
        <w:t>Department for the Blind and Vision Impaired</w:t>
      </w:r>
    </w:p>
    <w:p w14:paraId="51B12EA4" w14:textId="77777777" w:rsidR="0007314E" w:rsidRPr="008C3B8E" w:rsidRDefault="0007314E" w:rsidP="0007314E">
      <w:pPr>
        <w:spacing w:after="0" w:line="240" w:lineRule="auto"/>
        <w:jc w:val="center"/>
        <w:rPr>
          <w:b/>
          <w:color w:val="0000CC"/>
        </w:rPr>
      </w:pPr>
      <w:r w:rsidRPr="008C3B8E">
        <w:rPr>
          <w:b/>
          <w:color w:val="0000CC"/>
        </w:rPr>
        <w:t>Established 1922</w:t>
      </w:r>
    </w:p>
    <w:p w14:paraId="1557310F" w14:textId="77777777" w:rsidR="0007314E" w:rsidRPr="008C3B8E" w:rsidRDefault="0007314E" w:rsidP="0007314E">
      <w:pPr>
        <w:spacing w:after="0" w:line="240" w:lineRule="auto"/>
        <w:jc w:val="center"/>
        <w:rPr>
          <w:b/>
          <w:i/>
          <w:color w:val="0000CC"/>
        </w:rPr>
      </w:pPr>
      <w:r w:rsidRPr="008C3B8E">
        <w:rPr>
          <w:b/>
          <w:i/>
          <w:color w:val="0000CC"/>
        </w:rPr>
        <w:t>“Celebrating our past and empowering our future”</w:t>
      </w:r>
    </w:p>
    <w:p w14:paraId="4D01BA01" w14:textId="77777777" w:rsidR="0007314E" w:rsidRDefault="0007314E" w:rsidP="0007314E">
      <w:pPr>
        <w:spacing w:after="0"/>
        <w:rPr>
          <w:b/>
          <w:color w:val="0000CC"/>
          <w:sz w:val="18"/>
        </w:rPr>
      </w:pPr>
    </w:p>
    <w:p w14:paraId="5649A2FC" w14:textId="77777777" w:rsidR="0007314E" w:rsidRDefault="0007314E" w:rsidP="0007314E">
      <w:pPr>
        <w:spacing w:after="0"/>
        <w:rPr>
          <w:b/>
          <w:color w:val="0000CC"/>
          <w:sz w:val="18"/>
        </w:rPr>
      </w:pPr>
      <w:r>
        <w:rPr>
          <w:b/>
          <w:color w:val="0000CC"/>
          <w:sz w:val="18"/>
        </w:rPr>
        <w:t>Richard L. Mitchell</w:t>
      </w:r>
    </w:p>
    <w:p w14:paraId="61FE8997" w14:textId="77777777" w:rsidR="0007314E" w:rsidRDefault="0007314E" w:rsidP="0007314E">
      <w:pPr>
        <w:rPr>
          <w:rFonts w:ascii="Century Gothic" w:hAnsi="Century Gothic"/>
          <w:sz w:val="20"/>
          <w:szCs w:val="20"/>
          <w:u w:val="single"/>
        </w:rPr>
      </w:pPr>
      <w:r w:rsidRPr="00BD6E88">
        <w:rPr>
          <w:b/>
          <w:color w:val="0000CC"/>
          <w:sz w:val="18"/>
        </w:rPr>
        <w:t xml:space="preserve">  </w:t>
      </w:r>
      <w:r w:rsidRPr="00BD6E88">
        <w:rPr>
          <w:color w:val="0000CC"/>
          <w:sz w:val="18"/>
        </w:rPr>
        <w:t xml:space="preserve"> Commissioner</w:t>
      </w:r>
    </w:p>
    <w:p w14:paraId="0703EEDC" w14:textId="76F8B1EB" w:rsidR="008856F5" w:rsidRDefault="008856F5" w:rsidP="0007314E">
      <w:pPr>
        <w:jc w:val="center"/>
      </w:pPr>
    </w:p>
    <w:p w14:paraId="6CE44B89" w14:textId="761B751A" w:rsidR="0007314E" w:rsidRPr="003A52A9" w:rsidRDefault="00046F17" w:rsidP="0007314E">
      <w:pPr>
        <w:spacing w:after="0" w:line="240" w:lineRule="auto"/>
        <w:rPr>
          <w:rFonts w:ascii="Century Gothic" w:hAnsi="Century Gothic"/>
          <w:sz w:val="20"/>
          <w:szCs w:val="20"/>
        </w:rPr>
      </w:pPr>
      <w:r>
        <w:rPr>
          <w:rFonts w:ascii="Century Gothic" w:hAnsi="Century Gothic"/>
          <w:sz w:val="20"/>
          <w:szCs w:val="20"/>
        </w:rPr>
        <w:t>Donna Cox</w:t>
      </w:r>
    </w:p>
    <w:p w14:paraId="021C6079" w14:textId="52343256" w:rsidR="0007314E" w:rsidRDefault="00046F17" w:rsidP="0007314E">
      <w:pPr>
        <w:spacing w:after="0" w:line="240" w:lineRule="auto"/>
        <w:rPr>
          <w:rFonts w:ascii="Century Gothic" w:hAnsi="Century Gothic"/>
          <w:sz w:val="20"/>
          <w:szCs w:val="20"/>
        </w:rPr>
      </w:pPr>
      <w:r>
        <w:rPr>
          <w:rFonts w:ascii="Century Gothic" w:hAnsi="Century Gothic"/>
          <w:sz w:val="20"/>
          <w:szCs w:val="20"/>
        </w:rPr>
        <w:t>Director of Education and Library Services</w:t>
      </w:r>
    </w:p>
    <w:p w14:paraId="0875827C" w14:textId="612B3A99" w:rsidR="00A7562B" w:rsidRDefault="00E96251" w:rsidP="0007314E">
      <w:pPr>
        <w:spacing w:after="0" w:line="240" w:lineRule="auto"/>
        <w:rPr>
          <w:rFonts w:ascii="Century Gothic" w:hAnsi="Century Gothic"/>
          <w:sz w:val="20"/>
          <w:szCs w:val="20"/>
        </w:rPr>
      </w:pPr>
      <w:hyperlink r:id="rId5" w:history="1">
        <w:r w:rsidR="00046F17">
          <w:rPr>
            <w:rStyle w:val="Hyperlink"/>
            <w:rFonts w:ascii="Century Gothic" w:hAnsi="Century Gothic"/>
            <w:sz w:val="20"/>
            <w:szCs w:val="20"/>
          </w:rPr>
          <w:t>Donna.cox@dbvi.virginia.gov</w:t>
        </w:r>
      </w:hyperlink>
    </w:p>
    <w:p w14:paraId="2301977A" w14:textId="587021C2" w:rsidR="00A7562B" w:rsidRPr="003A52A9" w:rsidRDefault="00A7562B" w:rsidP="0007314E">
      <w:pPr>
        <w:spacing w:after="0" w:line="240" w:lineRule="auto"/>
        <w:rPr>
          <w:rFonts w:ascii="Century Gothic" w:hAnsi="Century Gothic"/>
          <w:sz w:val="20"/>
          <w:szCs w:val="20"/>
        </w:rPr>
      </w:pPr>
      <w:r>
        <w:rPr>
          <w:rFonts w:ascii="Century Gothic" w:hAnsi="Century Gothic"/>
          <w:sz w:val="20"/>
          <w:szCs w:val="20"/>
        </w:rPr>
        <w:t xml:space="preserve">804 </w:t>
      </w:r>
      <w:r w:rsidR="00046F17">
        <w:rPr>
          <w:rFonts w:ascii="Century Gothic" w:hAnsi="Century Gothic"/>
          <w:sz w:val="20"/>
          <w:szCs w:val="20"/>
        </w:rPr>
        <w:t>887 7327</w:t>
      </w:r>
    </w:p>
    <w:p w14:paraId="46034220" w14:textId="060C92BB" w:rsidR="0007314E" w:rsidRPr="003A52A9" w:rsidRDefault="0007314E" w:rsidP="0007314E">
      <w:pPr>
        <w:spacing w:after="0" w:line="240" w:lineRule="auto"/>
        <w:rPr>
          <w:rFonts w:ascii="Century Gothic" w:hAnsi="Century Gothic"/>
          <w:sz w:val="20"/>
          <w:szCs w:val="20"/>
        </w:rPr>
      </w:pPr>
    </w:p>
    <w:p w14:paraId="2B65BFE4" w14:textId="3950ECC2" w:rsidR="0007314E" w:rsidRPr="003A52A9" w:rsidRDefault="0007314E" w:rsidP="0007314E">
      <w:pPr>
        <w:spacing w:after="0" w:line="240" w:lineRule="auto"/>
        <w:rPr>
          <w:rFonts w:ascii="Century Gothic" w:hAnsi="Century Gothic"/>
          <w:sz w:val="20"/>
          <w:szCs w:val="20"/>
        </w:rPr>
      </w:pPr>
      <w:r w:rsidRPr="003A52A9">
        <w:rPr>
          <w:rFonts w:ascii="Century Gothic" w:hAnsi="Century Gothic"/>
          <w:sz w:val="20"/>
          <w:szCs w:val="20"/>
        </w:rPr>
        <w:t xml:space="preserve">DBVI’s Mission Statement: </w:t>
      </w:r>
      <w:r w:rsidR="003A52A9" w:rsidRPr="003A52A9">
        <w:rPr>
          <w:rFonts w:ascii="Century Gothic" w:hAnsi="Century Gothic"/>
          <w:sz w:val="20"/>
          <w:szCs w:val="20"/>
        </w:rPr>
        <w:t>The mission of the Department for the Blind and Vision Impaired (DBVI) is to provide services and resources which empower individuals who are blind, vision impaired or deafblind to achieve their desired levels of employment, education, and personal independence.</w:t>
      </w:r>
    </w:p>
    <w:p w14:paraId="7097A910" w14:textId="053DBBCF" w:rsidR="003A52A9" w:rsidRPr="003A52A9" w:rsidRDefault="003A52A9" w:rsidP="0007314E">
      <w:pPr>
        <w:spacing w:after="0" w:line="240" w:lineRule="auto"/>
        <w:rPr>
          <w:rFonts w:ascii="Century Gothic" w:hAnsi="Century Gothic"/>
          <w:sz w:val="20"/>
          <w:szCs w:val="20"/>
        </w:rPr>
      </w:pPr>
    </w:p>
    <w:p w14:paraId="2C5AA461" w14:textId="77B550E8" w:rsidR="003A52A9" w:rsidRDefault="003A52A9" w:rsidP="0007314E">
      <w:pPr>
        <w:spacing w:after="0" w:line="240" w:lineRule="auto"/>
        <w:rPr>
          <w:rFonts w:ascii="Century Gothic" w:hAnsi="Century Gothic"/>
          <w:sz w:val="20"/>
          <w:szCs w:val="20"/>
        </w:rPr>
      </w:pPr>
      <w:r w:rsidRPr="003A52A9">
        <w:rPr>
          <w:rFonts w:ascii="Century Gothic" w:hAnsi="Century Gothic"/>
          <w:sz w:val="20"/>
          <w:szCs w:val="20"/>
        </w:rPr>
        <w:t>Vision Statement: DBVI envisions a world in which individuals who are blind, vision impaired or deafblind can access all that society has to offer and can, in turn, contribute to the greater community. We believe this is achievable.</w:t>
      </w:r>
    </w:p>
    <w:p w14:paraId="01EDBAB6" w14:textId="18209749" w:rsidR="005F5155" w:rsidRDefault="005F5155" w:rsidP="0007314E">
      <w:pPr>
        <w:spacing w:after="0" w:line="240" w:lineRule="auto"/>
        <w:rPr>
          <w:rFonts w:ascii="Century Gothic" w:hAnsi="Century Gothic"/>
          <w:sz w:val="20"/>
          <w:szCs w:val="20"/>
        </w:rPr>
      </w:pPr>
    </w:p>
    <w:p w14:paraId="355883B8" w14:textId="26320469" w:rsidR="005F5155" w:rsidRDefault="0067035A" w:rsidP="0007314E">
      <w:pPr>
        <w:spacing w:after="0" w:line="240" w:lineRule="auto"/>
        <w:rPr>
          <w:rFonts w:ascii="Century Gothic" w:hAnsi="Century Gothic"/>
          <w:sz w:val="20"/>
          <w:szCs w:val="20"/>
        </w:rPr>
      </w:pPr>
      <w:r>
        <w:rPr>
          <w:rFonts w:ascii="Century Gothic" w:hAnsi="Century Gothic"/>
          <w:sz w:val="20"/>
          <w:szCs w:val="20"/>
        </w:rPr>
        <w:t>There are</w:t>
      </w:r>
      <w:r w:rsidR="005F5155">
        <w:rPr>
          <w:rFonts w:ascii="Century Gothic" w:hAnsi="Century Gothic"/>
          <w:sz w:val="20"/>
          <w:szCs w:val="20"/>
        </w:rPr>
        <w:t xml:space="preserve"> six regional offices across the Commonwealth of Virginia: Bristol, Fairfax, Norfolk, Richmond, Roanoke, and Staunton. The Headquarters Office is located in Richmond VA, as is the Library/Resource Center and the Virginia Rehabilitation Center for the Blind and Vision Impaired. </w:t>
      </w:r>
      <w:r w:rsidR="00CD470F">
        <w:rPr>
          <w:rFonts w:ascii="Century Gothic" w:hAnsi="Century Gothic"/>
          <w:sz w:val="20"/>
          <w:szCs w:val="20"/>
        </w:rPr>
        <w:t xml:space="preserve">Consumers are encouraged to sign up for agency emails, announcements, and updates on the DBVI website. </w:t>
      </w:r>
      <w:r w:rsidR="005F175A">
        <w:rPr>
          <w:rFonts w:ascii="Century Gothic" w:hAnsi="Century Gothic"/>
          <w:sz w:val="20"/>
          <w:szCs w:val="20"/>
        </w:rPr>
        <w:t>Referrals and inquiries may be received via regional office contact or website submission.</w:t>
      </w:r>
    </w:p>
    <w:p w14:paraId="61BC2546" w14:textId="09EECF3E" w:rsidR="005F175A" w:rsidRDefault="005F175A" w:rsidP="0007314E">
      <w:pPr>
        <w:spacing w:after="0" w:line="240" w:lineRule="auto"/>
        <w:rPr>
          <w:rFonts w:ascii="Century Gothic" w:hAnsi="Century Gothic"/>
          <w:sz w:val="20"/>
          <w:szCs w:val="20"/>
        </w:rPr>
      </w:pPr>
    </w:p>
    <w:p w14:paraId="1B683EC2" w14:textId="77777777" w:rsidR="00351953" w:rsidRDefault="005F175A" w:rsidP="0007314E">
      <w:pPr>
        <w:spacing w:after="0" w:line="240" w:lineRule="auto"/>
        <w:rPr>
          <w:rFonts w:ascii="Century Gothic" w:hAnsi="Century Gothic"/>
          <w:sz w:val="20"/>
          <w:szCs w:val="20"/>
        </w:rPr>
      </w:pPr>
      <w:r>
        <w:rPr>
          <w:rFonts w:ascii="Century Gothic" w:hAnsi="Century Gothic"/>
          <w:sz w:val="20"/>
          <w:szCs w:val="20"/>
        </w:rPr>
        <w:t xml:space="preserve">DBVI </w:t>
      </w:r>
      <w:r w:rsidR="0067035A">
        <w:rPr>
          <w:rFonts w:ascii="Century Gothic" w:hAnsi="Century Gothic"/>
          <w:sz w:val="20"/>
          <w:szCs w:val="20"/>
        </w:rPr>
        <w:t xml:space="preserve">provides programming to empower individuals of all ages: Education Services, Pre-Employment Transition Services, Vocational Rehabilitation Counseling, Orientation and Mobility Training, and </w:t>
      </w:r>
      <w:r w:rsidR="00A7562B">
        <w:rPr>
          <w:rFonts w:ascii="Century Gothic" w:hAnsi="Century Gothic"/>
          <w:sz w:val="20"/>
          <w:szCs w:val="20"/>
        </w:rPr>
        <w:t>Rehabilitation T</w:t>
      </w:r>
      <w:r w:rsidR="00351953">
        <w:rPr>
          <w:rFonts w:ascii="Century Gothic" w:hAnsi="Century Gothic"/>
          <w:sz w:val="20"/>
          <w:szCs w:val="20"/>
        </w:rPr>
        <w:t>eaching</w:t>
      </w:r>
      <w:r w:rsidR="00A7562B">
        <w:rPr>
          <w:rFonts w:ascii="Century Gothic" w:hAnsi="Century Gothic"/>
          <w:sz w:val="20"/>
          <w:szCs w:val="20"/>
        </w:rPr>
        <w:t xml:space="preserve">. </w:t>
      </w:r>
    </w:p>
    <w:p w14:paraId="6B992606" w14:textId="77777777" w:rsidR="00351953" w:rsidRDefault="00351953" w:rsidP="0007314E">
      <w:pPr>
        <w:spacing w:after="0" w:line="240" w:lineRule="auto"/>
        <w:rPr>
          <w:rFonts w:ascii="Century Gothic" w:hAnsi="Century Gothic"/>
          <w:sz w:val="20"/>
          <w:szCs w:val="20"/>
        </w:rPr>
      </w:pPr>
    </w:p>
    <w:p w14:paraId="29913BB7" w14:textId="4B661F63" w:rsidR="005F175A" w:rsidRDefault="00A7562B" w:rsidP="0007314E">
      <w:pPr>
        <w:spacing w:after="0" w:line="240" w:lineRule="auto"/>
        <w:rPr>
          <w:rFonts w:ascii="Century Gothic" w:hAnsi="Century Gothic"/>
          <w:sz w:val="20"/>
          <w:szCs w:val="20"/>
        </w:rPr>
      </w:pPr>
      <w:r>
        <w:rPr>
          <w:rFonts w:ascii="Century Gothic" w:hAnsi="Century Gothic"/>
          <w:sz w:val="20"/>
          <w:szCs w:val="20"/>
        </w:rPr>
        <w:t xml:space="preserve">Education Coordinators </w:t>
      </w:r>
      <w:r w:rsidR="00BD0929">
        <w:rPr>
          <w:rFonts w:ascii="Century Gothic" w:hAnsi="Century Gothic"/>
          <w:sz w:val="20"/>
          <w:szCs w:val="20"/>
        </w:rPr>
        <w:t xml:space="preserve">are </w:t>
      </w:r>
      <w:r>
        <w:rPr>
          <w:rFonts w:ascii="Century Gothic" w:hAnsi="Century Gothic"/>
          <w:sz w:val="20"/>
          <w:szCs w:val="20"/>
        </w:rPr>
        <w:t>located in each DBVI Regional Office</w:t>
      </w:r>
      <w:r w:rsidR="002E7218">
        <w:rPr>
          <w:rFonts w:ascii="Century Gothic" w:hAnsi="Century Gothic"/>
          <w:sz w:val="20"/>
          <w:szCs w:val="20"/>
        </w:rPr>
        <w:t>. Education Coordinators are available to provide consultation and guidance</w:t>
      </w:r>
      <w:r w:rsidR="00BD0929">
        <w:rPr>
          <w:rFonts w:ascii="Century Gothic" w:hAnsi="Century Gothic"/>
          <w:sz w:val="20"/>
          <w:szCs w:val="20"/>
        </w:rPr>
        <w:t xml:space="preserve"> for</w:t>
      </w:r>
      <w:r w:rsidR="002E7218">
        <w:rPr>
          <w:rFonts w:ascii="Century Gothic" w:hAnsi="Century Gothic"/>
          <w:sz w:val="20"/>
          <w:szCs w:val="20"/>
        </w:rPr>
        <w:t xml:space="preserve"> children with blindness/vision impairments, ages birth through 21 years old. </w:t>
      </w:r>
    </w:p>
    <w:p w14:paraId="27CF046A" w14:textId="7FB0DAE5" w:rsidR="00BD0929" w:rsidRDefault="00BD0929" w:rsidP="0007314E">
      <w:pPr>
        <w:spacing w:after="0" w:line="240" w:lineRule="auto"/>
        <w:rPr>
          <w:rFonts w:ascii="Century Gothic" w:hAnsi="Century Gothic"/>
          <w:sz w:val="20"/>
          <w:szCs w:val="20"/>
        </w:rPr>
      </w:pPr>
      <w:r>
        <w:rPr>
          <w:rFonts w:ascii="Century Gothic" w:hAnsi="Century Gothic"/>
          <w:sz w:val="20"/>
          <w:szCs w:val="20"/>
        </w:rPr>
        <w:t>DBVI Education Services consultation and guidance may include:</w:t>
      </w:r>
    </w:p>
    <w:p w14:paraId="40F8CBB0" w14:textId="2A6A1ABD" w:rsidR="00BD0929" w:rsidRDefault="00BD0929" w:rsidP="0007314E">
      <w:pPr>
        <w:spacing w:after="0" w:line="240" w:lineRule="auto"/>
        <w:rPr>
          <w:rFonts w:ascii="Century Gothic" w:hAnsi="Century Gothic"/>
          <w:sz w:val="20"/>
          <w:szCs w:val="20"/>
        </w:rPr>
      </w:pPr>
      <w:r>
        <w:rPr>
          <w:rFonts w:ascii="Century Gothic" w:hAnsi="Century Gothic"/>
          <w:sz w:val="20"/>
          <w:szCs w:val="20"/>
        </w:rPr>
        <w:t xml:space="preserve"> - Participation as a cooperating state agency to facilitate access to developmental / educational programming as appropriate.</w:t>
      </w:r>
    </w:p>
    <w:p w14:paraId="75E3A043" w14:textId="77777777" w:rsidR="00BD0929" w:rsidRDefault="00BD0929" w:rsidP="0007314E">
      <w:pPr>
        <w:spacing w:after="0" w:line="240" w:lineRule="auto"/>
        <w:rPr>
          <w:rFonts w:ascii="Century Gothic" w:hAnsi="Century Gothic"/>
          <w:sz w:val="20"/>
          <w:szCs w:val="20"/>
        </w:rPr>
      </w:pPr>
      <w:r>
        <w:rPr>
          <w:rFonts w:ascii="Century Gothic" w:hAnsi="Century Gothic"/>
          <w:sz w:val="20"/>
          <w:szCs w:val="20"/>
        </w:rPr>
        <w:t xml:space="preserve"> - Collaboration with early intervention teams to provide consultation regarding understanding </w:t>
      </w:r>
    </w:p>
    <w:p w14:paraId="5AF43B01" w14:textId="7812C333" w:rsidR="00BD0929" w:rsidRDefault="00BD0929" w:rsidP="0007314E">
      <w:pPr>
        <w:spacing w:after="0" w:line="240" w:lineRule="auto"/>
        <w:rPr>
          <w:rFonts w:ascii="Century Gothic" w:hAnsi="Century Gothic"/>
          <w:sz w:val="20"/>
          <w:szCs w:val="20"/>
        </w:rPr>
      </w:pPr>
      <w:r>
        <w:rPr>
          <w:rFonts w:ascii="Century Gothic" w:hAnsi="Century Gothic"/>
          <w:sz w:val="20"/>
          <w:szCs w:val="20"/>
        </w:rPr>
        <w:t>of vision loss and or blindness</w:t>
      </w:r>
      <w:r w:rsidR="007827D8">
        <w:rPr>
          <w:rFonts w:ascii="Century Gothic" w:hAnsi="Century Gothic"/>
          <w:sz w:val="20"/>
          <w:szCs w:val="20"/>
        </w:rPr>
        <w:t>.</w:t>
      </w:r>
    </w:p>
    <w:p w14:paraId="5A424EC3" w14:textId="21450AB8" w:rsidR="00BD0929" w:rsidRDefault="00BD0929" w:rsidP="0007314E">
      <w:pPr>
        <w:spacing w:after="0" w:line="240" w:lineRule="auto"/>
        <w:rPr>
          <w:rFonts w:ascii="Century Gothic" w:hAnsi="Century Gothic"/>
          <w:sz w:val="20"/>
          <w:szCs w:val="20"/>
        </w:rPr>
      </w:pPr>
      <w:r>
        <w:rPr>
          <w:rFonts w:ascii="Century Gothic" w:hAnsi="Century Gothic"/>
          <w:sz w:val="20"/>
          <w:szCs w:val="20"/>
        </w:rPr>
        <w:lastRenderedPageBreak/>
        <w:t xml:space="preserve">- Access to resources </w:t>
      </w:r>
      <w:r w:rsidR="00B92AA2">
        <w:rPr>
          <w:rFonts w:ascii="Century Gothic" w:hAnsi="Century Gothic"/>
          <w:sz w:val="20"/>
          <w:szCs w:val="20"/>
        </w:rPr>
        <w:t>for</w:t>
      </w:r>
      <w:r w:rsidR="00202056">
        <w:rPr>
          <w:rFonts w:ascii="Century Gothic" w:hAnsi="Century Gothic"/>
          <w:sz w:val="20"/>
          <w:szCs w:val="20"/>
        </w:rPr>
        <w:t xml:space="preserve"> use of the family and early intervention team </w:t>
      </w:r>
      <w:r>
        <w:rPr>
          <w:rFonts w:ascii="Century Gothic" w:hAnsi="Century Gothic"/>
          <w:sz w:val="20"/>
          <w:szCs w:val="20"/>
        </w:rPr>
        <w:t>to support recommended strategies</w:t>
      </w:r>
    </w:p>
    <w:p w14:paraId="4873F462" w14:textId="260CF7E6" w:rsidR="00BD0929" w:rsidRDefault="00BD0929" w:rsidP="0007314E">
      <w:pPr>
        <w:spacing w:after="0" w:line="240" w:lineRule="auto"/>
        <w:rPr>
          <w:rFonts w:ascii="Century Gothic" w:hAnsi="Century Gothic"/>
          <w:sz w:val="20"/>
          <w:szCs w:val="20"/>
        </w:rPr>
      </w:pPr>
      <w:r>
        <w:rPr>
          <w:rFonts w:ascii="Century Gothic" w:hAnsi="Century Gothic"/>
          <w:sz w:val="20"/>
          <w:szCs w:val="20"/>
        </w:rPr>
        <w:t xml:space="preserve">- Connections to community </w:t>
      </w:r>
      <w:r w:rsidR="00C81A9F">
        <w:rPr>
          <w:rFonts w:ascii="Century Gothic" w:hAnsi="Century Gothic"/>
          <w:sz w:val="20"/>
          <w:szCs w:val="20"/>
        </w:rPr>
        <w:t>and family networks</w:t>
      </w:r>
      <w:r>
        <w:rPr>
          <w:rFonts w:ascii="Century Gothic" w:hAnsi="Century Gothic"/>
          <w:sz w:val="20"/>
          <w:szCs w:val="20"/>
        </w:rPr>
        <w:t>, events, support groups</w:t>
      </w:r>
      <w:r w:rsidR="00C81A9F">
        <w:rPr>
          <w:rFonts w:ascii="Century Gothic" w:hAnsi="Century Gothic"/>
          <w:sz w:val="20"/>
          <w:szCs w:val="20"/>
        </w:rPr>
        <w:t xml:space="preserve"> and literacy resources.</w:t>
      </w:r>
    </w:p>
    <w:p w14:paraId="41031777" w14:textId="4345759F" w:rsidR="007F6D0A" w:rsidRDefault="007F6D0A" w:rsidP="0007314E">
      <w:pPr>
        <w:spacing w:after="0" w:line="240" w:lineRule="auto"/>
        <w:rPr>
          <w:rFonts w:ascii="Century Gothic" w:hAnsi="Century Gothic"/>
          <w:sz w:val="20"/>
          <w:szCs w:val="20"/>
        </w:rPr>
      </w:pPr>
      <w:r>
        <w:rPr>
          <w:rFonts w:ascii="Century Gothic" w:hAnsi="Century Gothic"/>
          <w:sz w:val="20"/>
          <w:szCs w:val="20"/>
        </w:rPr>
        <w:t>Virginia Department for the Blind and Vision Impaired/VICC</w:t>
      </w:r>
    </w:p>
    <w:p w14:paraId="71F77F26" w14:textId="67DFFF1E" w:rsidR="00BD0929" w:rsidRDefault="00BD0929" w:rsidP="0007314E">
      <w:pPr>
        <w:spacing w:after="0" w:line="240" w:lineRule="auto"/>
        <w:rPr>
          <w:rFonts w:ascii="Century Gothic" w:hAnsi="Century Gothic"/>
          <w:sz w:val="20"/>
          <w:szCs w:val="20"/>
        </w:rPr>
      </w:pPr>
      <w:r>
        <w:rPr>
          <w:rFonts w:ascii="Century Gothic" w:hAnsi="Century Gothic"/>
          <w:sz w:val="20"/>
          <w:szCs w:val="20"/>
        </w:rPr>
        <w:t>- Professional development opportunities pertaining to vision loss and its impact on development</w:t>
      </w:r>
      <w:r w:rsidR="003564EF">
        <w:rPr>
          <w:rFonts w:ascii="Century Gothic" w:hAnsi="Century Gothic"/>
          <w:sz w:val="20"/>
          <w:szCs w:val="20"/>
        </w:rPr>
        <w:t>.</w:t>
      </w:r>
    </w:p>
    <w:p w14:paraId="0F1AF992" w14:textId="6B221526" w:rsidR="007827D8" w:rsidRDefault="007827D8" w:rsidP="0007314E">
      <w:pPr>
        <w:spacing w:after="0" w:line="240" w:lineRule="auto"/>
        <w:rPr>
          <w:rFonts w:ascii="Century Gothic" w:hAnsi="Century Gothic"/>
          <w:sz w:val="20"/>
          <w:szCs w:val="20"/>
        </w:rPr>
      </w:pPr>
      <w:r>
        <w:rPr>
          <w:rFonts w:ascii="Century Gothic" w:hAnsi="Century Gothic"/>
          <w:sz w:val="20"/>
          <w:szCs w:val="20"/>
        </w:rPr>
        <w:t xml:space="preserve">- Support to teams and family members during the transition process (from early intervention). Being an informed member of the transition process </w:t>
      </w:r>
      <w:r w:rsidR="00C81A9F">
        <w:rPr>
          <w:rFonts w:ascii="Century Gothic" w:hAnsi="Century Gothic"/>
          <w:sz w:val="20"/>
          <w:szCs w:val="20"/>
        </w:rPr>
        <w:t xml:space="preserve">assists </w:t>
      </w:r>
      <w:r>
        <w:rPr>
          <w:rFonts w:ascii="Century Gothic" w:hAnsi="Century Gothic"/>
          <w:sz w:val="20"/>
          <w:szCs w:val="20"/>
        </w:rPr>
        <w:t>school systems in planning for contracted service providers for the upcoming school year.</w:t>
      </w:r>
      <w:r w:rsidR="00202056">
        <w:rPr>
          <w:rFonts w:ascii="Century Gothic" w:hAnsi="Century Gothic"/>
          <w:sz w:val="20"/>
          <w:szCs w:val="20"/>
        </w:rPr>
        <w:t xml:space="preserve"> Information provided to families </w:t>
      </w:r>
      <w:r w:rsidR="00C81A9F">
        <w:rPr>
          <w:rFonts w:ascii="Century Gothic" w:hAnsi="Century Gothic"/>
          <w:sz w:val="20"/>
          <w:szCs w:val="20"/>
        </w:rPr>
        <w:t>considering private placements v. school system supports informed decision processes.</w:t>
      </w:r>
    </w:p>
    <w:p w14:paraId="159240E1" w14:textId="2DCADAA0" w:rsidR="0079260C" w:rsidRDefault="0079260C" w:rsidP="0007314E">
      <w:pPr>
        <w:spacing w:after="0" w:line="240" w:lineRule="auto"/>
        <w:rPr>
          <w:rFonts w:ascii="Century Gothic" w:hAnsi="Century Gothic"/>
          <w:sz w:val="20"/>
          <w:szCs w:val="20"/>
        </w:rPr>
      </w:pPr>
      <w:r>
        <w:rPr>
          <w:rFonts w:ascii="Century Gothic" w:hAnsi="Century Gothic"/>
          <w:sz w:val="20"/>
          <w:szCs w:val="20"/>
        </w:rPr>
        <w:t>- Upcoming community events – audible egg hunts.</w:t>
      </w:r>
    </w:p>
    <w:p w14:paraId="2EEF0805" w14:textId="41BDDAED" w:rsidR="003564EF" w:rsidRDefault="003564EF" w:rsidP="0007314E">
      <w:pPr>
        <w:spacing w:after="0" w:line="240" w:lineRule="auto"/>
        <w:rPr>
          <w:rFonts w:ascii="Century Gothic" w:hAnsi="Century Gothic"/>
          <w:sz w:val="20"/>
          <w:szCs w:val="20"/>
        </w:rPr>
      </w:pPr>
    </w:p>
    <w:p w14:paraId="28D9830E" w14:textId="7A784111" w:rsidR="00C81A9F" w:rsidRDefault="00896327" w:rsidP="0007314E">
      <w:pPr>
        <w:spacing w:after="0" w:line="240" w:lineRule="auto"/>
        <w:rPr>
          <w:rFonts w:ascii="Century Gothic" w:hAnsi="Century Gothic"/>
          <w:sz w:val="20"/>
          <w:szCs w:val="20"/>
        </w:rPr>
      </w:pPr>
      <w:r>
        <w:rPr>
          <w:rFonts w:ascii="Century Gothic" w:hAnsi="Century Gothic"/>
          <w:sz w:val="20"/>
          <w:szCs w:val="20"/>
        </w:rPr>
        <w:t xml:space="preserve">The Education Services Team is currently working to revise Virginia’s Early Intervention Screening Power Point on the DBVI website. The revisions are in the final phase of production. </w:t>
      </w:r>
    </w:p>
    <w:p w14:paraId="2C7E70BF" w14:textId="0C6F7865" w:rsidR="00896327" w:rsidRDefault="00896327" w:rsidP="0007314E">
      <w:pPr>
        <w:spacing w:after="0" w:line="240" w:lineRule="auto"/>
        <w:rPr>
          <w:rFonts w:ascii="Century Gothic" w:hAnsi="Century Gothic"/>
          <w:sz w:val="20"/>
          <w:szCs w:val="20"/>
        </w:rPr>
      </w:pPr>
    </w:p>
    <w:p w14:paraId="08886EA2" w14:textId="77777777" w:rsidR="00C81A9F" w:rsidRDefault="00C81A9F" w:rsidP="0007314E">
      <w:pPr>
        <w:spacing w:after="0" w:line="240" w:lineRule="auto"/>
        <w:rPr>
          <w:rFonts w:ascii="Century Gothic" w:hAnsi="Century Gothic"/>
          <w:sz w:val="20"/>
          <w:szCs w:val="20"/>
        </w:rPr>
      </w:pPr>
    </w:p>
    <w:p w14:paraId="5B1F308B" w14:textId="77777777" w:rsidR="007827D8" w:rsidRPr="003A52A9" w:rsidRDefault="007827D8" w:rsidP="0007314E">
      <w:pPr>
        <w:spacing w:after="0" w:line="240" w:lineRule="auto"/>
        <w:rPr>
          <w:rFonts w:ascii="Century Gothic" w:hAnsi="Century Gothic"/>
          <w:sz w:val="20"/>
          <w:szCs w:val="20"/>
        </w:rPr>
      </w:pPr>
    </w:p>
    <w:p w14:paraId="33A90A30" w14:textId="77777777" w:rsidR="0007314E" w:rsidRDefault="0007314E" w:rsidP="0007314E"/>
    <w:sectPr w:rsidR="00073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14E"/>
    <w:rsid w:val="00046F17"/>
    <w:rsid w:val="0007314E"/>
    <w:rsid w:val="00202056"/>
    <w:rsid w:val="002E7218"/>
    <w:rsid w:val="00351953"/>
    <w:rsid w:val="003564EF"/>
    <w:rsid w:val="003A52A9"/>
    <w:rsid w:val="005F175A"/>
    <w:rsid w:val="005F5155"/>
    <w:rsid w:val="0067035A"/>
    <w:rsid w:val="007827D8"/>
    <w:rsid w:val="0079260C"/>
    <w:rsid w:val="007F6D0A"/>
    <w:rsid w:val="008856F5"/>
    <w:rsid w:val="00896327"/>
    <w:rsid w:val="00A7562B"/>
    <w:rsid w:val="00B92AA2"/>
    <w:rsid w:val="00BD0929"/>
    <w:rsid w:val="00C81A9F"/>
    <w:rsid w:val="00CD470F"/>
    <w:rsid w:val="00E96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7D58"/>
  <w15:chartTrackingRefBased/>
  <w15:docId w15:val="{AB4B09C4-A87D-4A75-A82D-A0C9D88C4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562B"/>
    <w:rPr>
      <w:color w:val="0563C1" w:themeColor="hyperlink"/>
      <w:u w:val="single"/>
    </w:rPr>
  </w:style>
  <w:style w:type="character" w:styleId="UnresolvedMention">
    <w:name w:val="Unresolved Mention"/>
    <w:basedOn w:val="DefaultParagraphFont"/>
    <w:uiPriority w:val="99"/>
    <w:semiHidden/>
    <w:unhideWhenUsed/>
    <w:rsid w:val="00A75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acy.deluca@dbvi.virginia.gov" TargetMode="External"/><Relationship Id="rId4" Type="http://schemas.openxmlformats.org/officeDocument/2006/relationships/image" Target="media/image1.png"/><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7AF236-1B81-449B-8AB0-587EA7B1B0C5}"/>
</file>

<file path=customXml/itemProps2.xml><?xml version="1.0" encoding="utf-8"?>
<ds:datastoreItem xmlns:ds="http://schemas.openxmlformats.org/officeDocument/2006/customXml" ds:itemID="{2D04A1DE-CEA4-4EF2-BCFB-51C29BC0BAEA}"/>
</file>

<file path=docProps/app.xml><?xml version="1.0" encoding="utf-8"?>
<Properties xmlns="http://schemas.openxmlformats.org/officeDocument/2006/extended-properties" xmlns:vt="http://schemas.openxmlformats.org/officeDocument/2006/docPropsVTypes">
  <Template>Normal.dotm</Template>
  <TotalTime>3</TotalTime>
  <Pages>2</Pages>
  <Words>455</Words>
  <Characters>2598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VITA</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Deluca, Tracy (DBVI)</dc:creator>
  <cp:keywords/>
  <dc:description/>
  <cp:lastModifiedBy>White, Keisha (DBHDS)</cp:lastModifiedBy>
  <cp:revision>2</cp:revision>
  <dcterms:created xsi:type="dcterms:W3CDTF">2024-03-13T00:35:00Z</dcterms:created>
  <dcterms:modified xsi:type="dcterms:W3CDTF">2024-03-13T00:35:00Z</dcterms:modified>
</cp:coreProperties>
</file>