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658C" w14:textId="77777777" w:rsidR="0000246D" w:rsidRDefault="0000246D">
      <w:r w:rsidRPr="001D7074">
        <w:rPr>
          <w:rFonts w:ascii="Candara" w:hAnsi="Candara" w:cs="Arial"/>
          <w:b/>
          <w:noProof/>
          <w:sz w:val="36"/>
          <w:szCs w:val="36"/>
        </w:rPr>
        <w:drawing>
          <wp:inline distT="0" distB="0" distL="0" distR="0" wp14:anchorId="379DAFAD" wp14:editId="37694FA6">
            <wp:extent cx="1371600" cy="530352"/>
            <wp:effectExtent l="0" t="0" r="0" b="317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Aetna M4 VALogo_Violet_CMYK.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371600" cy="530352"/>
                    </a:xfrm>
                    <a:prstGeom prst="rect">
                      <a:avLst/>
                    </a:prstGeom>
                  </pic:spPr>
                </pic:pic>
              </a:graphicData>
            </a:graphic>
          </wp:inline>
        </w:drawing>
      </w:r>
    </w:p>
    <w:tbl>
      <w:tblPr>
        <w:tblStyle w:val="TableGrid"/>
        <w:tblW w:w="18895" w:type="dxa"/>
        <w:tblLook w:val="04A0" w:firstRow="1" w:lastRow="0" w:firstColumn="1" w:lastColumn="0" w:noHBand="0" w:noVBand="1"/>
      </w:tblPr>
      <w:tblGrid>
        <w:gridCol w:w="1705"/>
        <w:gridCol w:w="3330"/>
        <w:gridCol w:w="3330"/>
        <w:gridCol w:w="10530"/>
      </w:tblGrid>
      <w:tr w:rsidR="00AB2E00" w:rsidRPr="0000246D" w14:paraId="469742BE" w14:textId="77777777" w:rsidTr="003B6463">
        <w:trPr>
          <w:tblHeader/>
        </w:trPr>
        <w:tc>
          <w:tcPr>
            <w:tcW w:w="1705" w:type="dxa"/>
            <w:shd w:val="clear" w:color="auto" w:fill="0099CC"/>
          </w:tcPr>
          <w:p w14:paraId="34A094E9" w14:textId="77777777" w:rsidR="00AB2E00" w:rsidRPr="0000246D" w:rsidRDefault="00AB2E00" w:rsidP="00224EBE">
            <w:pPr>
              <w:jc w:val="center"/>
              <w:rPr>
                <w:rFonts w:ascii="Candara" w:hAnsi="Candara"/>
                <w:b/>
                <w:sz w:val="20"/>
                <w:szCs w:val="20"/>
              </w:rPr>
            </w:pPr>
            <w:r w:rsidRPr="0000246D">
              <w:rPr>
                <w:rFonts w:ascii="Candara" w:hAnsi="Candara"/>
                <w:b/>
                <w:sz w:val="20"/>
                <w:szCs w:val="20"/>
              </w:rPr>
              <w:t>TOPIC</w:t>
            </w:r>
          </w:p>
        </w:tc>
        <w:tc>
          <w:tcPr>
            <w:tcW w:w="3330" w:type="dxa"/>
            <w:shd w:val="clear" w:color="auto" w:fill="0099CC"/>
          </w:tcPr>
          <w:p w14:paraId="0F7D7B73" w14:textId="77777777" w:rsidR="00AB2E00" w:rsidRPr="0000246D" w:rsidRDefault="00AB2E00" w:rsidP="00224EBE">
            <w:pPr>
              <w:jc w:val="center"/>
              <w:rPr>
                <w:rFonts w:ascii="Candara" w:hAnsi="Candara"/>
                <w:b/>
                <w:sz w:val="20"/>
                <w:szCs w:val="20"/>
              </w:rPr>
            </w:pPr>
            <w:r w:rsidRPr="0000246D">
              <w:rPr>
                <w:rFonts w:ascii="Candara" w:hAnsi="Candara"/>
                <w:b/>
                <w:sz w:val="20"/>
                <w:szCs w:val="20"/>
              </w:rPr>
              <w:t>DESCRIPTION</w:t>
            </w:r>
          </w:p>
        </w:tc>
        <w:tc>
          <w:tcPr>
            <w:tcW w:w="3330" w:type="dxa"/>
            <w:shd w:val="clear" w:color="auto" w:fill="0099CC"/>
          </w:tcPr>
          <w:p w14:paraId="5BF5A538" w14:textId="77777777" w:rsidR="00AB2E00" w:rsidRPr="0000246D" w:rsidRDefault="00AB2E00" w:rsidP="00224EBE">
            <w:pPr>
              <w:jc w:val="center"/>
              <w:rPr>
                <w:rFonts w:ascii="Candara" w:hAnsi="Candara"/>
                <w:b/>
                <w:sz w:val="20"/>
                <w:szCs w:val="20"/>
              </w:rPr>
            </w:pPr>
            <w:r w:rsidRPr="0000246D">
              <w:rPr>
                <w:rFonts w:ascii="Candara" w:hAnsi="Candara"/>
                <w:b/>
                <w:sz w:val="20"/>
                <w:szCs w:val="20"/>
              </w:rPr>
              <w:t>MCO PROCESS</w:t>
            </w:r>
          </w:p>
        </w:tc>
        <w:tc>
          <w:tcPr>
            <w:tcW w:w="10530" w:type="dxa"/>
            <w:shd w:val="clear" w:color="auto" w:fill="0099CC"/>
          </w:tcPr>
          <w:p w14:paraId="79D04941" w14:textId="77777777" w:rsidR="00AB2E00" w:rsidRPr="0000246D" w:rsidRDefault="00AB2E00" w:rsidP="00224EBE">
            <w:pPr>
              <w:jc w:val="center"/>
              <w:rPr>
                <w:rFonts w:ascii="Candara" w:hAnsi="Candara"/>
                <w:b/>
                <w:sz w:val="20"/>
                <w:szCs w:val="20"/>
              </w:rPr>
            </w:pPr>
            <w:r w:rsidRPr="0000246D">
              <w:rPr>
                <w:rFonts w:ascii="Candara" w:hAnsi="Candara"/>
                <w:b/>
                <w:sz w:val="20"/>
                <w:szCs w:val="20"/>
              </w:rPr>
              <w:t>MCO RESPONSE</w:t>
            </w:r>
          </w:p>
        </w:tc>
      </w:tr>
      <w:tr w:rsidR="00AB2E00" w:rsidRPr="0000246D" w14:paraId="0C629833" w14:textId="77777777" w:rsidTr="003B6463">
        <w:trPr>
          <w:tblHeader/>
        </w:trPr>
        <w:tc>
          <w:tcPr>
            <w:tcW w:w="1705" w:type="dxa"/>
            <w:shd w:val="clear" w:color="auto" w:fill="0099CC"/>
          </w:tcPr>
          <w:p w14:paraId="33E83DE1" w14:textId="77777777" w:rsidR="00AB2E00" w:rsidRPr="0000246D" w:rsidRDefault="00AB2E00" w:rsidP="00224EBE">
            <w:pPr>
              <w:jc w:val="center"/>
              <w:rPr>
                <w:rFonts w:ascii="Candara" w:hAnsi="Candara"/>
                <w:b/>
                <w:sz w:val="20"/>
                <w:szCs w:val="20"/>
              </w:rPr>
            </w:pPr>
          </w:p>
        </w:tc>
        <w:tc>
          <w:tcPr>
            <w:tcW w:w="3330" w:type="dxa"/>
            <w:shd w:val="clear" w:color="auto" w:fill="0099CC"/>
          </w:tcPr>
          <w:p w14:paraId="6F9AA5D2" w14:textId="77777777" w:rsidR="00AB2E00" w:rsidRPr="0000246D" w:rsidRDefault="00AB2E00" w:rsidP="00224EBE">
            <w:pPr>
              <w:jc w:val="center"/>
              <w:rPr>
                <w:rFonts w:ascii="Candara" w:hAnsi="Candara"/>
                <w:b/>
                <w:sz w:val="20"/>
                <w:szCs w:val="20"/>
              </w:rPr>
            </w:pPr>
          </w:p>
        </w:tc>
        <w:tc>
          <w:tcPr>
            <w:tcW w:w="3330" w:type="dxa"/>
            <w:shd w:val="clear" w:color="auto" w:fill="0099CC"/>
          </w:tcPr>
          <w:p w14:paraId="1AD85543" w14:textId="77777777" w:rsidR="00AB2E00" w:rsidRPr="0000246D" w:rsidRDefault="00B1288F" w:rsidP="00224EBE">
            <w:pPr>
              <w:jc w:val="center"/>
              <w:rPr>
                <w:rFonts w:ascii="Candara" w:hAnsi="Candara"/>
                <w:b/>
                <w:sz w:val="20"/>
                <w:szCs w:val="20"/>
              </w:rPr>
            </w:pPr>
            <w:r w:rsidRPr="0000246D">
              <w:rPr>
                <w:rFonts w:ascii="Candara" w:hAnsi="Candara"/>
                <w:b/>
                <w:sz w:val="20"/>
                <w:szCs w:val="20"/>
              </w:rPr>
              <w:t>MCOs shall provide a brief description for each point within the topic area</w:t>
            </w:r>
          </w:p>
        </w:tc>
        <w:tc>
          <w:tcPr>
            <w:tcW w:w="10530" w:type="dxa"/>
            <w:shd w:val="clear" w:color="auto" w:fill="0099CC"/>
          </w:tcPr>
          <w:p w14:paraId="784BBB6F" w14:textId="77777777" w:rsidR="00AB2E00" w:rsidRPr="0000246D" w:rsidRDefault="00AB2E00" w:rsidP="00224EBE">
            <w:pPr>
              <w:jc w:val="center"/>
              <w:rPr>
                <w:rFonts w:ascii="Candara" w:hAnsi="Candara"/>
                <w:b/>
                <w:sz w:val="20"/>
                <w:szCs w:val="20"/>
              </w:rPr>
            </w:pPr>
          </w:p>
        </w:tc>
      </w:tr>
      <w:tr w:rsidR="00AB2E00" w:rsidRPr="00ED1BAA" w14:paraId="40438324" w14:textId="77777777" w:rsidTr="00D57D0D">
        <w:tc>
          <w:tcPr>
            <w:tcW w:w="1705" w:type="dxa"/>
          </w:tcPr>
          <w:p w14:paraId="3D758E35" w14:textId="77777777" w:rsidR="00AB2E00" w:rsidRPr="00ED1BAA" w:rsidRDefault="00AB2E00">
            <w:pPr>
              <w:rPr>
                <w:rFonts w:cstheme="minorHAnsi"/>
                <w:sz w:val="20"/>
                <w:szCs w:val="20"/>
              </w:rPr>
            </w:pPr>
            <w:r w:rsidRPr="00ED1BAA">
              <w:rPr>
                <w:rFonts w:cstheme="minorHAnsi"/>
                <w:sz w:val="20"/>
                <w:szCs w:val="20"/>
              </w:rPr>
              <w:t>MCO Credentialing and Contracting</w:t>
            </w:r>
          </w:p>
        </w:tc>
        <w:tc>
          <w:tcPr>
            <w:tcW w:w="3330" w:type="dxa"/>
          </w:tcPr>
          <w:p w14:paraId="61DD4B23" w14:textId="77777777" w:rsidR="00100251" w:rsidRPr="00ED1BAA" w:rsidRDefault="00AB2E00" w:rsidP="00215A4D">
            <w:pPr>
              <w:rPr>
                <w:rFonts w:eastAsia="Times New Roman" w:cstheme="minorHAnsi"/>
                <w:color w:val="000000"/>
                <w:sz w:val="20"/>
                <w:szCs w:val="20"/>
              </w:rPr>
            </w:pPr>
            <w:r w:rsidRPr="00ED1BAA">
              <w:rPr>
                <w:rFonts w:eastAsia="Times New Roman" w:cstheme="minorHAnsi"/>
                <w:color w:val="000000"/>
                <w:sz w:val="20"/>
                <w:szCs w:val="20"/>
              </w:rPr>
              <w:t xml:space="preserve">All EI providers must be credentialed and contracted by each MCO in order to provide services to members enrolled with the MCO.   </w:t>
            </w:r>
          </w:p>
          <w:p w14:paraId="01986D4A" w14:textId="77777777" w:rsidR="00AB2E00" w:rsidRPr="00ED1BAA" w:rsidRDefault="00100251" w:rsidP="00215A4D">
            <w:pPr>
              <w:rPr>
                <w:rFonts w:cstheme="minorHAnsi"/>
                <w:sz w:val="20"/>
                <w:szCs w:val="20"/>
              </w:rPr>
            </w:pPr>
            <w:r w:rsidRPr="00ED1BAA">
              <w:rPr>
                <w:rFonts w:eastAsia="Times New Roman" w:cstheme="minorHAnsi"/>
                <w:color w:val="000000"/>
                <w:sz w:val="20"/>
                <w:szCs w:val="20"/>
              </w:rPr>
              <w:t xml:space="preserve"> Any provider that is not contracted with the MCO is referred to as non-par.            </w:t>
            </w:r>
            <w:r w:rsidR="00AB2E00" w:rsidRPr="00ED1BAA">
              <w:rPr>
                <w:rFonts w:eastAsia="Times New Roman" w:cstheme="minorHAnsi"/>
                <w:color w:val="000000"/>
                <w:sz w:val="20"/>
                <w:szCs w:val="20"/>
              </w:rPr>
              <w:t xml:space="preserve">        </w:t>
            </w:r>
            <w:r w:rsidR="00AB2E00" w:rsidRPr="00ED1BAA">
              <w:rPr>
                <w:rFonts w:eastAsia="Times New Roman" w:cstheme="minorHAnsi"/>
                <w:color w:val="000000"/>
                <w:sz w:val="20"/>
                <w:szCs w:val="20"/>
              </w:rPr>
              <w:br/>
            </w:r>
            <w:r w:rsidR="00AB2E00" w:rsidRPr="00ED1BAA">
              <w:rPr>
                <w:rFonts w:eastAsia="Times New Roman" w:cstheme="minorHAnsi"/>
                <w:color w:val="000000"/>
                <w:sz w:val="20"/>
                <w:szCs w:val="20"/>
              </w:rPr>
              <w:br/>
              <w:t>All EI providers must be certified by DBHDS and affiliated with a LLA prior to the MCO credentialing and contracting process.</w:t>
            </w:r>
            <w:r w:rsidR="00AB2E00" w:rsidRPr="00ED1BAA">
              <w:rPr>
                <w:rFonts w:eastAsia="Times New Roman" w:cstheme="minorHAnsi"/>
                <w:color w:val="000000"/>
                <w:sz w:val="20"/>
                <w:szCs w:val="20"/>
              </w:rPr>
              <w:br/>
            </w:r>
          </w:p>
        </w:tc>
        <w:tc>
          <w:tcPr>
            <w:tcW w:w="3330" w:type="dxa"/>
          </w:tcPr>
          <w:p w14:paraId="4FA54EC1" w14:textId="77777777" w:rsidR="00AB2E00" w:rsidRPr="00ED1BAA" w:rsidRDefault="00B1288F" w:rsidP="00215A4D">
            <w:pPr>
              <w:pStyle w:val="ListParagraph"/>
              <w:numPr>
                <w:ilvl w:val="0"/>
                <w:numId w:val="2"/>
              </w:numPr>
              <w:ind w:left="216" w:hanging="216"/>
              <w:rPr>
                <w:rFonts w:eastAsia="Times New Roman" w:cstheme="minorHAnsi"/>
                <w:color w:val="000000"/>
                <w:sz w:val="20"/>
                <w:szCs w:val="20"/>
              </w:rPr>
            </w:pPr>
            <w:r w:rsidRPr="00ED1BAA">
              <w:rPr>
                <w:rFonts w:eastAsia="Times New Roman" w:cstheme="minorHAnsi"/>
                <w:color w:val="000000"/>
                <w:sz w:val="20"/>
                <w:szCs w:val="20"/>
              </w:rPr>
              <w:t>C</w:t>
            </w:r>
            <w:r w:rsidR="00AB2E00" w:rsidRPr="00ED1BAA">
              <w:rPr>
                <w:rFonts w:eastAsia="Times New Roman" w:cstheme="minorHAnsi"/>
                <w:color w:val="000000"/>
                <w:sz w:val="20"/>
                <w:szCs w:val="20"/>
              </w:rPr>
              <w:t>redentialing process</w:t>
            </w:r>
          </w:p>
          <w:p w14:paraId="13CB15AA" w14:textId="77777777" w:rsidR="00AB2E00" w:rsidRPr="00ED1BAA" w:rsidRDefault="00AB2E00" w:rsidP="00215A4D">
            <w:pPr>
              <w:pStyle w:val="ListParagraph"/>
              <w:numPr>
                <w:ilvl w:val="0"/>
                <w:numId w:val="2"/>
              </w:numPr>
              <w:ind w:left="216" w:hanging="216"/>
              <w:rPr>
                <w:rFonts w:eastAsia="Times New Roman" w:cstheme="minorHAnsi"/>
                <w:color w:val="000000"/>
                <w:sz w:val="20"/>
                <w:szCs w:val="20"/>
              </w:rPr>
            </w:pPr>
            <w:r w:rsidRPr="00ED1BAA">
              <w:rPr>
                <w:rFonts w:eastAsia="Times New Roman" w:cstheme="minorHAnsi"/>
                <w:color w:val="000000"/>
                <w:sz w:val="20"/>
                <w:szCs w:val="20"/>
              </w:rPr>
              <w:t>CAQH</w:t>
            </w:r>
            <w:r w:rsidR="00B1288F" w:rsidRPr="00ED1BAA">
              <w:rPr>
                <w:rFonts w:eastAsia="Times New Roman" w:cstheme="minorHAnsi"/>
                <w:color w:val="000000"/>
                <w:sz w:val="20"/>
                <w:szCs w:val="20"/>
              </w:rPr>
              <w:t xml:space="preserve"> process</w:t>
            </w:r>
          </w:p>
          <w:p w14:paraId="710AC7A3" w14:textId="77777777" w:rsidR="00AB2E00" w:rsidRPr="00ED1BAA" w:rsidRDefault="00B1288F" w:rsidP="00215A4D">
            <w:pPr>
              <w:pStyle w:val="ListParagraph"/>
              <w:numPr>
                <w:ilvl w:val="0"/>
                <w:numId w:val="2"/>
              </w:numPr>
              <w:ind w:left="216" w:hanging="216"/>
              <w:rPr>
                <w:rFonts w:eastAsia="Times New Roman" w:cstheme="minorHAnsi"/>
                <w:color w:val="000000"/>
                <w:sz w:val="20"/>
                <w:szCs w:val="20"/>
              </w:rPr>
            </w:pPr>
            <w:r w:rsidRPr="00ED1BAA">
              <w:rPr>
                <w:rFonts w:eastAsia="Times New Roman" w:cstheme="minorHAnsi"/>
                <w:color w:val="000000"/>
                <w:sz w:val="20"/>
                <w:szCs w:val="20"/>
              </w:rPr>
              <w:t>C</w:t>
            </w:r>
            <w:r w:rsidR="00AB2E00" w:rsidRPr="00ED1BAA">
              <w:rPr>
                <w:rFonts w:eastAsia="Times New Roman" w:cstheme="minorHAnsi"/>
                <w:color w:val="000000"/>
                <w:sz w:val="20"/>
                <w:szCs w:val="20"/>
              </w:rPr>
              <w:t>ontracting process</w:t>
            </w:r>
          </w:p>
          <w:p w14:paraId="4599B0D9" w14:textId="77777777" w:rsidR="00AB2E00" w:rsidRPr="00ED1BAA" w:rsidRDefault="00B1288F" w:rsidP="00215A4D">
            <w:pPr>
              <w:pStyle w:val="ListParagraph"/>
              <w:numPr>
                <w:ilvl w:val="0"/>
                <w:numId w:val="2"/>
              </w:numPr>
              <w:ind w:left="216" w:hanging="216"/>
              <w:rPr>
                <w:rFonts w:eastAsia="Times New Roman" w:cstheme="minorHAnsi"/>
                <w:color w:val="000000"/>
                <w:sz w:val="20"/>
                <w:szCs w:val="20"/>
              </w:rPr>
            </w:pPr>
            <w:r w:rsidRPr="00ED1BAA">
              <w:rPr>
                <w:rFonts w:eastAsia="Times New Roman" w:cstheme="minorHAnsi"/>
                <w:color w:val="000000"/>
                <w:sz w:val="20"/>
                <w:szCs w:val="20"/>
              </w:rPr>
              <w:t>C</w:t>
            </w:r>
            <w:r w:rsidR="00AB2E00" w:rsidRPr="00ED1BAA">
              <w:rPr>
                <w:rFonts w:eastAsia="Times New Roman" w:cstheme="minorHAnsi"/>
                <w:color w:val="000000"/>
                <w:sz w:val="20"/>
                <w:szCs w:val="20"/>
              </w:rPr>
              <w:t>redentialing and contracting educators</w:t>
            </w:r>
            <w:r w:rsidR="00D57D0D" w:rsidRPr="00ED1BAA">
              <w:rPr>
                <w:rFonts w:eastAsia="Times New Roman" w:cstheme="minorHAnsi"/>
                <w:color w:val="000000"/>
                <w:sz w:val="20"/>
                <w:szCs w:val="20"/>
              </w:rPr>
              <w:t xml:space="preserve"> and other non-traditional disciplines</w:t>
            </w:r>
          </w:p>
          <w:p w14:paraId="34225FC1" w14:textId="77777777" w:rsidR="00AB2E00" w:rsidRPr="00ED1BAA" w:rsidRDefault="00B1288F" w:rsidP="00215A4D">
            <w:pPr>
              <w:pStyle w:val="ListParagraph"/>
              <w:numPr>
                <w:ilvl w:val="0"/>
                <w:numId w:val="2"/>
              </w:numPr>
              <w:ind w:left="216" w:hanging="216"/>
              <w:rPr>
                <w:rFonts w:eastAsia="Times New Roman" w:cstheme="minorHAnsi"/>
                <w:color w:val="000000"/>
                <w:sz w:val="20"/>
                <w:szCs w:val="20"/>
              </w:rPr>
            </w:pPr>
            <w:r w:rsidRPr="00ED1BAA">
              <w:rPr>
                <w:rFonts w:eastAsia="Times New Roman" w:cstheme="minorHAnsi"/>
                <w:color w:val="000000"/>
                <w:sz w:val="20"/>
                <w:szCs w:val="20"/>
              </w:rPr>
              <w:t>C</w:t>
            </w:r>
            <w:r w:rsidR="00AB2E00" w:rsidRPr="00ED1BAA">
              <w:rPr>
                <w:rFonts w:eastAsia="Times New Roman" w:cstheme="minorHAnsi"/>
                <w:color w:val="000000"/>
                <w:sz w:val="20"/>
                <w:szCs w:val="20"/>
              </w:rPr>
              <w:t>redentialing and contracting service coordinators</w:t>
            </w:r>
          </w:p>
          <w:p w14:paraId="25C050AC" w14:textId="77777777" w:rsidR="00A62311" w:rsidRPr="00ED1BAA" w:rsidRDefault="00B1288F" w:rsidP="00215A4D">
            <w:pPr>
              <w:pStyle w:val="ListParagraph"/>
              <w:numPr>
                <w:ilvl w:val="0"/>
                <w:numId w:val="2"/>
              </w:numPr>
              <w:ind w:left="216" w:hanging="216"/>
              <w:rPr>
                <w:rFonts w:eastAsia="Times New Roman" w:cstheme="minorHAnsi"/>
                <w:color w:val="000000"/>
                <w:sz w:val="20"/>
                <w:szCs w:val="20"/>
              </w:rPr>
            </w:pPr>
            <w:r w:rsidRPr="00ED1BAA">
              <w:rPr>
                <w:rFonts w:eastAsia="Times New Roman" w:cstheme="minorHAnsi"/>
                <w:color w:val="000000"/>
                <w:sz w:val="20"/>
                <w:szCs w:val="20"/>
              </w:rPr>
              <w:t>H</w:t>
            </w:r>
            <w:r w:rsidR="00A62311" w:rsidRPr="00ED1BAA">
              <w:rPr>
                <w:rFonts w:eastAsia="Times New Roman" w:cstheme="minorHAnsi"/>
                <w:color w:val="000000"/>
                <w:sz w:val="20"/>
                <w:szCs w:val="20"/>
              </w:rPr>
              <w:t>andling of out-of-network providers</w:t>
            </w:r>
          </w:p>
        </w:tc>
        <w:tc>
          <w:tcPr>
            <w:tcW w:w="10530" w:type="dxa"/>
          </w:tcPr>
          <w:p w14:paraId="5DE39CFE" w14:textId="3F53A9EB" w:rsidR="000D7726" w:rsidRPr="00ED1BAA" w:rsidRDefault="005D25CE" w:rsidP="00AB2E00">
            <w:pPr>
              <w:rPr>
                <w:rFonts w:eastAsia="Times New Roman" w:cstheme="minorHAnsi"/>
                <w:color w:val="000000"/>
                <w:sz w:val="20"/>
                <w:szCs w:val="20"/>
              </w:rPr>
            </w:pPr>
            <w:r w:rsidRPr="00ED1BAA">
              <w:rPr>
                <w:rFonts w:eastAsia="Times New Roman" w:cstheme="minorHAnsi"/>
                <w:color w:val="000000"/>
                <w:sz w:val="20"/>
                <w:szCs w:val="20"/>
              </w:rPr>
              <w:t>Credentialing process – Provider receives contract and credentialing documents by requesting them on our website – aetnabetterhealth.com/</w:t>
            </w:r>
            <w:r w:rsidR="00F61B3B" w:rsidRPr="00ED1BAA">
              <w:rPr>
                <w:rFonts w:eastAsia="Times New Roman" w:cstheme="minorHAnsi"/>
                <w:color w:val="000000"/>
                <w:sz w:val="20"/>
                <w:szCs w:val="20"/>
              </w:rPr>
              <w:t>Virginia</w:t>
            </w:r>
            <w:r w:rsidRPr="00ED1BAA">
              <w:rPr>
                <w:rFonts w:eastAsia="Times New Roman" w:cstheme="minorHAnsi"/>
                <w:color w:val="000000"/>
                <w:sz w:val="20"/>
                <w:szCs w:val="20"/>
              </w:rPr>
              <w:t>.  Provider completes both contract documents and credentialing application and returns to Aetna Better Health of Virginia</w:t>
            </w:r>
            <w:r w:rsidR="00BD19D9" w:rsidRPr="00ED1BAA">
              <w:rPr>
                <w:rFonts w:eastAsia="Times New Roman" w:cstheme="minorHAnsi"/>
                <w:color w:val="000000"/>
                <w:sz w:val="20"/>
                <w:szCs w:val="20"/>
              </w:rPr>
              <w:t xml:space="preserve"> (ABHVA)</w:t>
            </w:r>
            <w:r w:rsidRPr="00ED1BAA">
              <w:rPr>
                <w:rFonts w:eastAsia="Times New Roman" w:cstheme="minorHAnsi"/>
                <w:color w:val="000000"/>
                <w:sz w:val="20"/>
                <w:szCs w:val="20"/>
              </w:rPr>
              <w:t>.  Credentialing documents will be reviewed for completeness</w:t>
            </w:r>
            <w:r w:rsidR="006C345B" w:rsidRPr="00ED1BAA">
              <w:rPr>
                <w:rFonts w:eastAsia="Times New Roman" w:cstheme="minorHAnsi"/>
                <w:color w:val="000000"/>
                <w:sz w:val="20"/>
                <w:szCs w:val="20"/>
              </w:rPr>
              <w:t xml:space="preserve">, provider verified on DBHDS approved EI provider list, </w:t>
            </w:r>
            <w:r w:rsidRPr="00ED1BAA">
              <w:rPr>
                <w:rFonts w:eastAsia="Times New Roman" w:cstheme="minorHAnsi"/>
                <w:color w:val="000000"/>
                <w:sz w:val="20"/>
                <w:szCs w:val="20"/>
              </w:rPr>
              <w:t xml:space="preserve">and submitted to our Credentialing </w:t>
            </w:r>
            <w:r w:rsidR="000D7726" w:rsidRPr="00ED1BAA">
              <w:rPr>
                <w:rFonts w:eastAsia="Times New Roman" w:cstheme="minorHAnsi"/>
                <w:color w:val="000000"/>
                <w:sz w:val="20"/>
                <w:szCs w:val="20"/>
              </w:rPr>
              <w:t xml:space="preserve">Department </w:t>
            </w:r>
            <w:r w:rsidRPr="00ED1BAA">
              <w:rPr>
                <w:rFonts w:eastAsia="Times New Roman" w:cstheme="minorHAnsi"/>
                <w:color w:val="000000"/>
                <w:sz w:val="20"/>
                <w:szCs w:val="20"/>
              </w:rPr>
              <w:t xml:space="preserve">for review/approval.  Provider will be loaded as non-par initially based on the date </w:t>
            </w:r>
            <w:r w:rsidR="000D7726" w:rsidRPr="00ED1BAA">
              <w:rPr>
                <w:rFonts w:eastAsia="Times New Roman" w:cstheme="minorHAnsi"/>
                <w:color w:val="000000"/>
                <w:sz w:val="20"/>
                <w:szCs w:val="20"/>
              </w:rPr>
              <w:t xml:space="preserve">the </w:t>
            </w:r>
            <w:r w:rsidRPr="00ED1BAA">
              <w:rPr>
                <w:rFonts w:eastAsia="Times New Roman" w:cstheme="minorHAnsi"/>
                <w:color w:val="000000"/>
                <w:sz w:val="20"/>
                <w:szCs w:val="20"/>
              </w:rPr>
              <w:t xml:space="preserve">signed contract/credentialing application is </w:t>
            </w:r>
            <w:r w:rsidR="000D7726" w:rsidRPr="00ED1BAA">
              <w:rPr>
                <w:rFonts w:eastAsia="Times New Roman" w:cstheme="minorHAnsi"/>
                <w:color w:val="000000"/>
                <w:sz w:val="20"/>
                <w:szCs w:val="20"/>
              </w:rPr>
              <w:t>sent to us</w:t>
            </w:r>
            <w:r w:rsidRPr="00ED1BAA">
              <w:rPr>
                <w:rFonts w:eastAsia="Times New Roman" w:cstheme="minorHAnsi"/>
                <w:color w:val="000000"/>
                <w:sz w:val="20"/>
                <w:szCs w:val="20"/>
              </w:rPr>
              <w:t xml:space="preserve">.  The initial loading </w:t>
            </w:r>
            <w:r w:rsidR="000D7726" w:rsidRPr="00ED1BAA">
              <w:rPr>
                <w:rFonts w:eastAsia="Times New Roman" w:cstheme="minorHAnsi"/>
                <w:color w:val="000000"/>
                <w:sz w:val="20"/>
                <w:szCs w:val="20"/>
              </w:rPr>
              <w:t xml:space="preserve">of providers </w:t>
            </w:r>
            <w:r w:rsidRPr="00ED1BAA">
              <w:rPr>
                <w:rFonts w:eastAsia="Times New Roman" w:cstheme="minorHAnsi"/>
                <w:color w:val="000000"/>
                <w:sz w:val="20"/>
                <w:szCs w:val="20"/>
              </w:rPr>
              <w:t>as non-par facilitates claims submission during the credentialing process</w:t>
            </w:r>
            <w:r w:rsidR="000D7726" w:rsidRPr="00ED1BAA">
              <w:rPr>
                <w:rFonts w:eastAsia="Times New Roman" w:cstheme="minorHAnsi"/>
                <w:color w:val="000000"/>
                <w:sz w:val="20"/>
                <w:szCs w:val="20"/>
              </w:rPr>
              <w:t>,</w:t>
            </w:r>
            <w:r w:rsidRPr="00ED1BAA">
              <w:rPr>
                <w:rFonts w:eastAsia="Times New Roman" w:cstheme="minorHAnsi"/>
                <w:color w:val="000000"/>
                <w:sz w:val="20"/>
                <w:szCs w:val="20"/>
              </w:rPr>
              <w:t xml:space="preserve"> though provider</w:t>
            </w:r>
            <w:r w:rsidR="000D7726" w:rsidRPr="00ED1BAA">
              <w:rPr>
                <w:rFonts w:eastAsia="Times New Roman" w:cstheme="minorHAnsi"/>
                <w:color w:val="000000"/>
                <w:sz w:val="20"/>
                <w:szCs w:val="20"/>
              </w:rPr>
              <w:t>s</w:t>
            </w:r>
            <w:r w:rsidRPr="00ED1BAA">
              <w:rPr>
                <w:rFonts w:eastAsia="Times New Roman" w:cstheme="minorHAnsi"/>
                <w:color w:val="000000"/>
                <w:sz w:val="20"/>
                <w:szCs w:val="20"/>
              </w:rPr>
              <w:t xml:space="preserve"> need to obtain prior auth</w:t>
            </w:r>
            <w:r w:rsidR="00F61B3B">
              <w:rPr>
                <w:rFonts w:eastAsia="Times New Roman" w:cstheme="minorHAnsi"/>
                <w:color w:val="000000"/>
                <w:sz w:val="20"/>
                <w:szCs w:val="20"/>
              </w:rPr>
              <w:t>orizations</w:t>
            </w:r>
            <w:r w:rsidR="00131BF7" w:rsidRPr="00ED1BAA">
              <w:rPr>
                <w:rFonts w:eastAsia="Times New Roman" w:cstheme="minorHAnsi"/>
                <w:color w:val="000000"/>
                <w:sz w:val="20"/>
                <w:szCs w:val="20"/>
              </w:rPr>
              <w:t xml:space="preserve"> for each claim submitted by contacting </w:t>
            </w:r>
            <w:r w:rsidR="00615685" w:rsidRPr="00ED1BAA">
              <w:rPr>
                <w:rFonts w:eastAsia="Times New Roman" w:cstheme="minorHAnsi"/>
                <w:color w:val="000000"/>
                <w:sz w:val="20"/>
                <w:szCs w:val="20"/>
              </w:rPr>
              <w:t xml:space="preserve">our </w:t>
            </w:r>
            <w:r w:rsidR="00131BF7" w:rsidRPr="00ED1BAA">
              <w:rPr>
                <w:rFonts w:eastAsia="Times New Roman" w:cstheme="minorHAnsi"/>
                <w:color w:val="000000"/>
                <w:sz w:val="20"/>
                <w:szCs w:val="20"/>
              </w:rPr>
              <w:t>UM Department at 1-855-652-8249 for CCC Plus and 1-800-279-1878</w:t>
            </w:r>
            <w:r w:rsidRPr="00ED1BAA">
              <w:rPr>
                <w:rFonts w:eastAsia="Times New Roman" w:cstheme="minorHAnsi"/>
                <w:color w:val="000000"/>
                <w:sz w:val="20"/>
                <w:szCs w:val="20"/>
              </w:rPr>
              <w:t>.  Upon approval from the Credentialing Department, provider will be changed from non-par to par in our system.  Effective date of par status will be the 1</w:t>
            </w:r>
            <w:r w:rsidRPr="00ED1BAA">
              <w:rPr>
                <w:rFonts w:eastAsia="Times New Roman" w:cstheme="minorHAnsi"/>
                <w:color w:val="000000"/>
                <w:sz w:val="20"/>
                <w:szCs w:val="20"/>
                <w:vertAlign w:val="superscript"/>
              </w:rPr>
              <w:t>st</w:t>
            </w:r>
            <w:r w:rsidRPr="00ED1BAA">
              <w:rPr>
                <w:rFonts w:eastAsia="Times New Roman" w:cstheme="minorHAnsi"/>
                <w:color w:val="000000"/>
                <w:sz w:val="20"/>
                <w:szCs w:val="20"/>
              </w:rPr>
              <w:t xml:space="preserve"> of the month after the </w:t>
            </w:r>
            <w:r w:rsidR="000D7726" w:rsidRPr="00ED1BAA">
              <w:rPr>
                <w:rFonts w:eastAsia="Times New Roman" w:cstheme="minorHAnsi"/>
                <w:color w:val="000000"/>
                <w:sz w:val="20"/>
                <w:szCs w:val="20"/>
              </w:rPr>
              <w:t xml:space="preserve">Credentialing Department’s </w:t>
            </w:r>
            <w:r w:rsidRPr="00ED1BAA">
              <w:rPr>
                <w:rFonts w:eastAsia="Times New Roman" w:cstheme="minorHAnsi"/>
                <w:color w:val="000000"/>
                <w:sz w:val="20"/>
                <w:szCs w:val="20"/>
              </w:rPr>
              <w:t>approval date.  Contract will be countersigned the 1</w:t>
            </w:r>
            <w:r w:rsidRPr="00ED1BAA">
              <w:rPr>
                <w:rFonts w:eastAsia="Times New Roman" w:cstheme="minorHAnsi"/>
                <w:color w:val="000000"/>
                <w:sz w:val="20"/>
                <w:szCs w:val="20"/>
                <w:vertAlign w:val="superscript"/>
              </w:rPr>
              <w:t>st</w:t>
            </w:r>
            <w:r w:rsidRPr="00ED1BAA">
              <w:rPr>
                <w:rFonts w:eastAsia="Times New Roman" w:cstheme="minorHAnsi"/>
                <w:color w:val="000000"/>
                <w:sz w:val="20"/>
                <w:szCs w:val="20"/>
              </w:rPr>
              <w:t xml:space="preserve"> of the month after the approval date.</w:t>
            </w:r>
          </w:p>
          <w:p w14:paraId="000A9332" w14:textId="77777777" w:rsidR="0000246D" w:rsidRPr="00ED1BAA" w:rsidRDefault="0000246D" w:rsidP="00AB2E00">
            <w:pPr>
              <w:rPr>
                <w:rFonts w:cstheme="minorHAnsi"/>
                <w:sz w:val="20"/>
                <w:szCs w:val="20"/>
              </w:rPr>
            </w:pPr>
          </w:p>
          <w:p w14:paraId="30BD8D41" w14:textId="5FD8689E" w:rsidR="00100251" w:rsidRPr="00ED1BAA" w:rsidRDefault="00FF1A7B" w:rsidP="00100251">
            <w:pPr>
              <w:rPr>
                <w:rFonts w:eastAsia="Times New Roman" w:cstheme="minorHAnsi"/>
                <w:b/>
                <w:sz w:val="20"/>
                <w:szCs w:val="20"/>
              </w:rPr>
            </w:pPr>
            <w:r w:rsidRPr="00ED1BAA">
              <w:rPr>
                <w:rFonts w:cstheme="minorHAnsi"/>
                <w:sz w:val="20"/>
                <w:szCs w:val="20"/>
              </w:rPr>
              <w:t>Credentialing</w:t>
            </w:r>
            <w:r w:rsidR="00FD4EF9" w:rsidRPr="00ED1BAA">
              <w:rPr>
                <w:rFonts w:cstheme="minorHAnsi"/>
                <w:sz w:val="20"/>
                <w:szCs w:val="20"/>
              </w:rPr>
              <w:t xml:space="preserve"> process typically take up to 30-60</w:t>
            </w:r>
            <w:r w:rsidRPr="00ED1BAA">
              <w:rPr>
                <w:rFonts w:cstheme="minorHAnsi"/>
                <w:sz w:val="20"/>
                <w:szCs w:val="20"/>
              </w:rPr>
              <w:t xml:space="preserve"> days if all information is submitted completely, and correctly.</w:t>
            </w:r>
            <w:r w:rsidR="00100251" w:rsidRPr="00ED1BAA">
              <w:rPr>
                <w:rFonts w:cstheme="minorHAnsi"/>
                <w:sz w:val="20"/>
                <w:szCs w:val="20"/>
              </w:rPr>
              <w:t xml:space="preserve"> However, providers are loaded as non-par upon receipt of completed application and paid at 100% of DMAS.  </w:t>
            </w:r>
          </w:p>
          <w:p w14:paraId="7508E084" w14:textId="4F642980" w:rsidR="00100251" w:rsidRPr="00ED1BAA" w:rsidRDefault="00100251" w:rsidP="00100251">
            <w:pPr>
              <w:rPr>
                <w:rFonts w:cstheme="minorHAnsi"/>
                <w:sz w:val="20"/>
                <w:szCs w:val="20"/>
              </w:rPr>
            </w:pPr>
            <w:r w:rsidRPr="00ED1BAA">
              <w:rPr>
                <w:rFonts w:cstheme="minorHAnsi"/>
                <w:sz w:val="20"/>
                <w:szCs w:val="20"/>
              </w:rPr>
              <w:t>Non-par EI providers will not be required to request authorizations for EI services.  However, if billing non-EI services, authorizations will be required.  P</w:t>
            </w:r>
            <w:r w:rsidRPr="00ED1BAA">
              <w:rPr>
                <w:rFonts w:eastAsia="Times New Roman" w:cstheme="minorHAnsi"/>
                <w:sz w:val="20"/>
                <w:szCs w:val="20"/>
              </w:rPr>
              <w:t>rior authorizations can be obtained by contacting our UM Department at 1-855-652-8249 for CCC Plus and 1-800-279-1878.</w:t>
            </w:r>
          </w:p>
          <w:p w14:paraId="709A3078" w14:textId="77777777" w:rsidR="0000246D" w:rsidRPr="00ED1BAA" w:rsidRDefault="0000246D" w:rsidP="00AB2E00">
            <w:pPr>
              <w:rPr>
                <w:rFonts w:eastAsia="Times New Roman" w:cstheme="minorHAnsi"/>
                <w:color w:val="000000"/>
                <w:sz w:val="20"/>
                <w:szCs w:val="20"/>
              </w:rPr>
            </w:pPr>
          </w:p>
          <w:p w14:paraId="664269FF" w14:textId="58C770DD" w:rsidR="00122922" w:rsidRPr="00ED1BAA" w:rsidRDefault="000D7726" w:rsidP="00100251">
            <w:pPr>
              <w:rPr>
                <w:rFonts w:eastAsia="Times New Roman" w:cstheme="minorHAnsi"/>
                <w:color w:val="000000"/>
                <w:sz w:val="20"/>
                <w:szCs w:val="20"/>
              </w:rPr>
            </w:pPr>
            <w:r w:rsidRPr="00ED1BAA">
              <w:rPr>
                <w:rFonts w:eastAsia="Times New Roman" w:cstheme="minorHAnsi"/>
                <w:color w:val="000000"/>
                <w:sz w:val="20"/>
                <w:szCs w:val="20"/>
              </w:rPr>
              <w:t>Example:</w:t>
            </w:r>
            <w:r w:rsidR="002D4379" w:rsidRPr="00ED1BAA">
              <w:rPr>
                <w:rFonts w:eastAsia="Times New Roman" w:cstheme="minorHAnsi"/>
                <w:color w:val="000000"/>
                <w:sz w:val="20"/>
                <w:szCs w:val="20"/>
              </w:rPr>
              <w:t xml:space="preserve"> </w:t>
            </w:r>
            <w:r w:rsidRPr="00ED1BAA">
              <w:rPr>
                <w:rFonts w:eastAsia="Times New Roman" w:cstheme="minorHAnsi"/>
                <w:color w:val="000000"/>
                <w:sz w:val="20"/>
                <w:szCs w:val="20"/>
              </w:rPr>
              <w:t xml:space="preserve"> provider submits complete contract/credentialing application on 1/17/2020.  Credentialing application is approved on 2/21/2020.  Provider will end up with a non-par record from 1/17/2020 – 2/28/202</w:t>
            </w:r>
            <w:r w:rsidR="00127C07" w:rsidRPr="00ED1BAA">
              <w:rPr>
                <w:rFonts w:eastAsia="Times New Roman" w:cstheme="minorHAnsi"/>
                <w:color w:val="000000"/>
                <w:sz w:val="20"/>
                <w:szCs w:val="20"/>
              </w:rPr>
              <w:t>0</w:t>
            </w:r>
            <w:r w:rsidRPr="00ED1BAA">
              <w:rPr>
                <w:rFonts w:eastAsia="Times New Roman" w:cstheme="minorHAnsi"/>
                <w:color w:val="000000"/>
                <w:sz w:val="20"/>
                <w:szCs w:val="20"/>
              </w:rPr>
              <w:t xml:space="preserve"> and </w:t>
            </w:r>
            <w:r w:rsidR="00615685" w:rsidRPr="00ED1BAA">
              <w:rPr>
                <w:rFonts w:eastAsia="Times New Roman" w:cstheme="minorHAnsi"/>
                <w:color w:val="000000"/>
                <w:sz w:val="20"/>
                <w:szCs w:val="20"/>
              </w:rPr>
              <w:t xml:space="preserve">during this period will need to </w:t>
            </w:r>
            <w:r w:rsidR="00100251" w:rsidRPr="00ED1BAA">
              <w:rPr>
                <w:rFonts w:eastAsia="Times New Roman" w:cstheme="minorHAnsi"/>
                <w:color w:val="000000"/>
                <w:sz w:val="20"/>
                <w:szCs w:val="20"/>
              </w:rPr>
              <w:t>obtain prior auth</w:t>
            </w:r>
            <w:r w:rsidR="00F070AF">
              <w:rPr>
                <w:rFonts w:eastAsia="Times New Roman" w:cstheme="minorHAnsi"/>
                <w:color w:val="000000"/>
                <w:sz w:val="20"/>
                <w:szCs w:val="20"/>
              </w:rPr>
              <w:t>orizations</w:t>
            </w:r>
            <w:r w:rsidR="00100251" w:rsidRPr="00ED1BAA">
              <w:rPr>
                <w:rFonts w:eastAsia="Times New Roman" w:cstheme="minorHAnsi"/>
                <w:color w:val="000000"/>
                <w:sz w:val="20"/>
                <w:szCs w:val="20"/>
              </w:rPr>
              <w:t xml:space="preserve"> for all claims submitted for services that are not EI related.  </w:t>
            </w:r>
            <w:r w:rsidR="00615685" w:rsidRPr="00ED1BAA">
              <w:rPr>
                <w:rFonts w:eastAsia="Times New Roman" w:cstheme="minorHAnsi"/>
                <w:color w:val="000000"/>
                <w:sz w:val="20"/>
                <w:szCs w:val="20"/>
              </w:rPr>
              <w:t xml:space="preserve">  They will be changed to </w:t>
            </w:r>
            <w:r w:rsidRPr="00ED1BAA">
              <w:rPr>
                <w:rFonts w:eastAsia="Times New Roman" w:cstheme="minorHAnsi"/>
                <w:color w:val="000000"/>
                <w:sz w:val="20"/>
                <w:szCs w:val="20"/>
              </w:rPr>
              <w:t xml:space="preserve">par status </w:t>
            </w:r>
            <w:r w:rsidR="00615685" w:rsidRPr="00ED1BAA">
              <w:rPr>
                <w:rFonts w:eastAsia="Times New Roman" w:cstheme="minorHAnsi"/>
                <w:color w:val="000000"/>
                <w:sz w:val="20"/>
                <w:szCs w:val="20"/>
              </w:rPr>
              <w:t xml:space="preserve">on </w:t>
            </w:r>
            <w:r w:rsidRPr="00ED1BAA">
              <w:rPr>
                <w:rFonts w:eastAsia="Times New Roman" w:cstheme="minorHAnsi"/>
                <w:color w:val="000000"/>
                <w:sz w:val="20"/>
                <w:szCs w:val="20"/>
              </w:rPr>
              <w:t>3/1/2020 when contract is countersigned</w:t>
            </w:r>
            <w:r w:rsidR="00B819EA" w:rsidRPr="00ED1BAA">
              <w:rPr>
                <w:rFonts w:eastAsia="Times New Roman" w:cstheme="minorHAnsi"/>
                <w:color w:val="000000"/>
                <w:sz w:val="20"/>
                <w:szCs w:val="20"/>
              </w:rPr>
              <w:t xml:space="preserve"> and only need to obtain prior auth</w:t>
            </w:r>
            <w:r w:rsidR="00F070AF">
              <w:rPr>
                <w:rFonts w:eastAsia="Times New Roman" w:cstheme="minorHAnsi"/>
                <w:color w:val="000000"/>
                <w:sz w:val="20"/>
                <w:szCs w:val="20"/>
              </w:rPr>
              <w:t>orizations</w:t>
            </w:r>
            <w:r w:rsidR="00B819EA" w:rsidRPr="00ED1BAA">
              <w:rPr>
                <w:rFonts w:eastAsia="Times New Roman" w:cstheme="minorHAnsi"/>
                <w:color w:val="000000"/>
                <w:sz w:val="20"/>
                <w:szCs w:val="20"/>
              </w:rPr>
              <w:t xml:space="preserve"> for procedure codes that require it</w:t>
            </w:r>
            <w:r w:rsidRPr="00ED1BAA">
              <w:rPr>
                <w:rFonts w:eastAsia="Times New Roman" w:cstheme="minorHAnsi"/>
                <w:color w:val="000000"/>
                <w:sz w:val="20"/>
                <w:szCs w:val="20"/>
              </w:rPr>
              <w:t>.</w:t>
            </w:r>
          </w:p>
          <w:p w14:paraId="1CE945F6" w14:textId="77777777" w:rsidR="00122922" w:rsidRPr="00ED1BAA" w:rsidRDefault="00122922" w:rsidP="00AB2E00">
            <w:pPr>
              <w:rPr>
                <w:rFonts w:eastAsia="Times New Roman" w:cstheme="minorHAnsi"/>
                <w:color w:val="000000"/>
                <w:sz w:val="20"/>
                <w:szCs w:val="20"/>
              </w:rPr>
            </w:pPr>
          </w:p>
          <w:p w14:paraId="3C2DBE8B" w14:textId="77777777" w:rsidR="00AB2E00" w:rsidRPr="00ED1BAA" w:rsidRDefault="00100251" w:rsidP="00AB2E00">
            <w:pPr>
              <w:rPr>
                <w:rFonts w:eastAsia="Times New Roman" w:cstheme="minorHAnsi"/>
                <w:color w:val="000000"/>
                <w:sz w:val="20"/>
                <w:szCs w:val="20"/>
              </w:rPr>
            </w:pPr>
            <w:r w:rsidRPr="00ED1BAA">
              <w:rPr>
                <w:rFonts w:eastAsia="Times New Roman" w:cstheme="minorHAnsi"/>
                <w:color w:val="000000"/>
                <w:sz w:val="20"/>
                <w:szCs w:val="20"/>
              </w:rPr>
              <w:t xml:space="preserve">Providers need to be on the state file, have a valid and recently attested CAQH account and a completed provider application are all required to participate in ABHVA’s networks.  </w:t>
            </w:r>
            <w:r w:rsidR="00122922" w:rsidRPr="00ED1BAA">
              <w:rPr>
                <w:rFonts w:eastAsia="Times New Roman" w:cstheme="minorHAnsi"/>
                <w:color w:val="000000"/>
                <w:sz w:val="20"/>
                <w:szCs w:val="20"/>
              </w:rPr>
              <w:t>ABHVA is not responsible for obtaining a CAQH account for a provider.  If a provider maintains a CAQH account, they need to make sure it is up-to-date as their CAQH number will be submitted as part of the credentialing application and will be verified by our Credentialing Dept.</w:t>
            </w:r>
            <w:r w:rsidR="005D25CE" w:rsidRPr="00ED1BAA">
              <w:rPr>
                <w:rFonts w:eastAsia="Times New Roman" w:cstheme="minorHAnsi"/>
                <w:color w:val="000000"/>
                <w:sz w:val="20"/>
                <w:szCs w:val="20"/>
              </w:rPr>
              <w:t xml:space="preserve"> </w:t>
            </w:r>
          </w:p>
          <w:p w14:paraId="39A58398" w14:textId="50990072" w:rsidR="00122922" w:rsidRPr="00ED1BAA" w:rsidRDefault="00122922" w:rsidP="00AB2E00">
            <w:pPr>
              <w:rPr>
                <w:rFonts w:eastAsia="Times New Roman" w:cstheme="minorHAnsi"/>
                <w:color w:val="000000"/>
                <w:sz w:val="20"/>
                <w:szCs w:val="20"/>
              </w:rPr>
            </w:pPr>
            <w:r w:rsidRPr="00ED1BAA">
              <w:rPr>
                <w:rFonts w:eastAsia="Times New Roman" w:cstheme="minorHAnsi"/>
                <w:color w:val="000000"/>
                <w:sz w:val="20"/>
                <w:szCs w:val="20"/>
              </w:rPr>
              <w:t>Credentialing for educators, service coordinators and non-traditional disciplines will follow the above contracting/credentialing process.</w:t>
            </w:r>
          </w:p>
          <w:p w14:paraId="5E4EBA01" w14:textId="77777777" w:rsidR="00FD4EF9" w:rsidRPr="00ED1BAA" w:rsidRDefault="00FD4EF9" w:rsidP="00AB2E00">
            <w:pPr>
              <w:rPr>
                <w:rFonts w:eastAsia="Times New Roman" w:cstheme="minorHAnsi"/>
                <w:color w:val="000000"/>
                <w:sz w:val="20"/>
                <w:szCs w:val="20"/>
              </w:rPr>
            </w:pPr>
            <w:r w:rsidRPr="00ED1BAA">
              <w:rPr>
                <w:rFonts w:eastAsia="Times New Roman" w:cstheme="minorHAnsi"/>
                <w:color w:val="000000"/>
                <w:sz w:val="20"/>
                <w:szCs w:val="20"/>
              </w:rPr>
              <w:t xml:space="preserve">Providers seeking to join the network can access the following link: </w:t>
            </w:r>
          </w:p>
          <w:p w14:paraId="4F3A37B0" w14:textId="77777777" w:rsidR="00FD4EF9" w:rsidRPr="00ED1BAA" w:rsidRDefault="00FD4EF9" w:rsidP="00AB2E00">
            <w:pPr>
              <w:rPr>
                <w:rFonts w:eastAsia="Times New Roman" w:cstheme="minorHAnsi"/>
                <w:color w:val="000000"/>
                <w:sz w:val="20"/>
                <w:szCs w:val="20"/>
              </w:rPr>
            </w:pPr>
          </w:p>
          <w:p w14:paraId="23837691" w14:textId="0D429AD3" w:rsidR="00FD4EF9" w:rsidRPr="00ED1BAA" w:rsidRDefault="00000000" w:rsidP="00AB2E00">
            <w:pPr>
              <w:rPr>
                <w:rFonts w:eastAsia="Times New Roman" w:cstheme="minorHAnsi"/>
                <w:color w:val="000000"/>
                <w:sz w:val="20"/>
                <w:szCs w:val="20"/>
              </w:rPr>
            </w:pPr>
            <w:hyperlink r:id="rId8" w:tgtFrame="_blank" w:history="1">
              <w:r w:rsidR="00FD4EF9" w:rsidRPr="00ED1BAA">
                <w:rPr>
                  <w:rFonts w:cstheme="minorHAnsi"/>
                  <w:color w:val="1155CC"/>
                  <w:sz w:val="20"/>
                  <w:szCs w:val="20"/>
                  <w:u w:val="single"/>
                  <w:shd w:val="clear" w:color="auto" w:fill="FFFFFF"/>
                </w:rPr>
                <w:t>https://www.aetnabetterhealth.com/virginia/providers/join-our-network/</w:t>
              </w:r>
            </w:hyperlink>
          </w:p>
          <w:p w14:paraId="6F558E5D" w14:textId="77777777" w:rsidR="00131BF7" w:rsidRPr="00ED1BAA" w:rsidRDefault="00131BF7" w:rsidP="00AB2E00">
            <w:pPr>
              <w:rPr>
                <w:rFonts w:eastAsia="Times New Roman" w:cstheme="minorHAnsi"/>
                <w:color w:val="000000"/>
                <w:sz w:val="20"/>
                <w:szCs w:val="20"/>
              </w:rPr>
            </w:pPr>
            <w:r w:rsidRPr="00ED1BAA">
              <w:rPr>
                <w:rFonts w:eastAsia="Times New Roman" w:cstheme="minorHAnsi"/>
                <w:color w:val="000000"/>
                <w:sz w:val="20"/>
                <w:szCs w:val="20"/>
              </w:rPr>
              <w:lastRenderedPageBreak/>
              <w:t xml:space="preserve">Out-of-network providers can </w:t>
            </w:r>
            <w:r w:rsidR="006C345B" w:rsidRPr="00ED1BAA">
              <w:rPr>
                <w:rFonts w:eastAsia="Times New Roman" w:cstheme="minorHAnsi"/>
                <w:color w:val="000000"/>
                <w:sz w:val="20"/>
                <w:szCs w:val="20"/>
              </w:rPr>
              <w:t xml:space="preserve">call into our </w:t>
            </w:r>
            <w:r w:rsidRPr="00ED1BAA">
              <w:rPr>
                <w:rFonts w:eastAsia="Times New Roman" w:cstheme="minorHAnsi"/>
                <w:color w:val="000000"/>
                <w:sz w:val="20"/>
                <w:szCs w:val="20"/>
              </w:rPr>
              <w:t>UM Department at 1-855-652-8249 for CCC Plus and 1-800-279-1878 for Medallion/FMAIS 4.0</w:t>
            </w:r>
            <w:r w:rsidR="00924005" w:rsidRPr="00ED1BAA">
              <w:rPr>
                <w:rFonts w:eastAsia="Times New Roman" w:cstheme="minorHAnsi"/>
                <w:color w:val="000000"/>
                <w:sz w:val="20"/>
                <w:szCs w:val="20"/>
              </w:rPr>
              <w:t xml:space="preserve"> to request a non-par auth which will pay claims at 100% DMAS.</w:t>
            </w:r>
          </w:p>
        </w:tc>
      </w:tr>
      <w:tr w:rsidR="00AB2E00" w:rsidRPr="00ED1BAA" w14:paraId="5014533C" w14:textId="77777777" w:rsidTr="00D57D0D">
        <w:tc>
          <w:tcPr>
            <w:tcW w:w="1705" w:type="dxa"/>
          </w:tcPr>
          <w:p w14:paraId="790AD191" w14:textId="77777777" w:rsidR="00AB2E00" w:rsidRPr="00ED1BAA" w:rsidRDefault="00A62311">
            <w:pPr>
              <w:rPr>
                <w:rFonts w:cstheme="minorHAnsi"/>
                <w:sz w:val="20"/>
                <w:szCs w:val="20"/>
              </w:rPr>
            </w:pPr>
            <w:r w:rsidRPr="00ED1BAA">
              <w:rPr>
                <w:rFonts w:cstheme="minorHAnsi"/>
                <w:sz w:val="20"/>
                <w:szCs w:val="20"/>
              </w:rPr>
              <w:lastRenderedPageBreak/>
              <w:t>Malpractice Insurance for Educators</w:t>
            </w:r>
          </w:p>
        </w:tc>
        <w:tc>
          <w:tcPr>
            <w:tcW w:w="3330" w:type="dxa"/>
          </w:tcPr>
          <w:p w14:paraId="2F16B18C" w14:textId="77777777" w:rsidR="00AB2E00" w:rsidRPr="00ED1BAA" w:rsidRDefault="00A62311">
            <w:pPr>
              <w:rPr>
                <w:rFonts w:cstheme="minorHAnsi"/>
                <w:sz w:val="20"/>
                <w:szCs w:val="20"/>
              </w:rPr>
            </w:pPr>
            <w:r w:rsidRPr="00ED1BAA">
              <w:rPr>
                <w:rFonts w:cstheme="minorHAnsi"/>
                <w:sz w:val="20"/>
                <w:szCs w:val="20"/>
              </w:rPr>
              <w:t>Providers must have malpractice insurance if they are not covered by the local system</w:t>
            </w:r>
            <w:r w:rsidR="004B64D8" w:rsidRPr="00ED1BAA">
              <w:rPr>
                <w:rFonts w:cstheme="minorHAnsi"/>
                <w:sz w:val="20"/>
                <w:szCs w:val="20"/>
              </w:rPr>
              <w:t>.</w:t>
            </w:r>
          </w:p>
        </w:tc>
        <w:tc>
          <w:tcPr>
            <w:tcW w:w="3330" w:type="dxa"/>
          </w:tcPr>
          <w:p w14:paraId="14A603BB" w14:textId="77777777" w:rsidR="00AB2E00" w:rsidRPr="00ED1BAA" w:rsidRDefault="00B1288F" w:rsidP="00A62311">
            <w:pPr>
              <w:pStyle w:val="ListParagraph"/>
              <w:numPr>
                <w:ilvl w:val="0"/>
                <w:numId w:val="3"/>
              </w:numPr>
              <w:ind w:left="216" w:hanging="216"/>
              <w:rPr>
                <w:rFonts w:cstheme="minorHAnsi"/>
                <w:sz w:val="20"/>
                <w:szCs w:val="20"/>
              </w:rPr>
            </w:pPr>
            <w:r w:rsidRPr="00ED1BAA">
              <w:rPr>
                <w:rFonts w:cstheme="minorHAnsi"/>
                <w:sz w:val="20"/>
                <w:szCs w:val="20"/>
              </w:rPr>
              <w:t>R</w:t>
            </w:r>
            <w:r w:rsidR="00A62311" w:rsidRPr="00ED1BAA">
              <w:rPr>
                <w:rFonts w:cstheme="minorHAnsi"/>
                <w:sz w:val="20"/>
                <w:szCs w:val="20"/>
              </w:rPr>
              <w:t>equirements</w:t>
            </w:r>
            <w:r w:rsidR="00D57D0D" w:rsidRPr="00ED1BAA">
              <w:rPr>
                <w:rFonts w:cstheme="minorHAnsi"/>
                <w:sz w:val="20"/>
                <w:szCs w:val="20"/>
              </w:rPr>
              <w:t xml:space="preserve"> related to malpractice insurance for educators and non-traditional disciplines </w:t>
            </w:r>
          </w:p>
        </w:tc>
        <w:tc>
          <w:tcPr>
            <w:tcW w:w="10530" w:type="dxa"/>
          </w:tcPr>
          <w:p w14:paraId="3FE9D56E" w14:textId="77777777" w:rsidR="007E6C18" w:rsidRPr="00ED1BAA" w:rsidRDefault="0018445F" w:rsidP="007E6C18">
            <w:pPr>
              <w:rPr>
                <w:rFonts w:cstheme="minorHAnsi"/>
                <w:sz w:val="20"/>
                <w:szCs w:val="20"/>
              </w:rPr>
            </w:pPr>
            <w:r w:rsidRPr="00ED1BAA">
              <w:rPr>
                <w:rFonts w:cstheme="minorHAnsi"/>
                <w:sz w:val="20"/>
                <w:szCs w:val="20"/>
              </w:rPr>
              <w:t xml:space="preserve">Aetna Better Health of Virginia’s </w:t>
            </w:r>
            <w:r w:rsidR="007E6C18" w:rsidRPr="00ED1BAA">
              <w:rPr>
                <w:rFonts w:cstheme="minorHAnsi"/>
                <w:sz w:val="20"/>
                <w:szCs w:val="20"/>
              </w:rPr>
              <w:t>liability insurance requirements for non-traditional providers in VA are as follows:</w:t>
            </w:r>
          </w:p>
          <w:p w14:paraId="08ADB528" w14:textId="77777777" w:rsidR="007E6C18" w:rsidRPr="00ED1BAA" w:rsidRDefault="007E6C18" w:rsidP="007E6C18">
            <w:pPr>
              <w:rPr>
                <w:rFonts w:cstheme="minorHAnsi"/>
                <w:sz w:val="20"/>
                <w:szCs w:val="20"/>
              </w:rPr>
            </w:pPr>
            <w:r w:rsidRPr="00ED1BAA">
              <w:rPr>
                <w:rFonts w:eastAsia="Times New Roman" w:cstheme="minorHAnsi"/>
                <w:sz w:val="20"/>
                <w:szCs w:val="20"/>
              </w:rPr>
              <w:t>$1</w:t>
            </w:r>
            <w:r w:rsidR="0018445F" w:rsidRPr="00ED1BAA">
              <w:rPr>
                <w:rFonts w:eastAsia="Times New Roman" w:cstheme="minorHAnsi"/>
                <w:sz w:val="20"/>
                <w:szCs w:val="20"/>
              </w:rPr>
              <w:t>.0</w:t>
            </w:r>
            <w:r w:rsidRPr="00ED1BAA">
              <w:rPr>
                <w:rFonts w:eastAsia="Times New Roman" w:cstheme="minorHAnsi"/>
                <w:sz w:val="20"/>
                <w:szCs w:val="20"/>
              </w:rPr>
              <w:t xml:space="preserve"> million per occurrence/$1</w:t>
            </w:r>
            <w:r w:rsidR="0018445F" w:rsidRPr="00ED1BAA">
              <w:rPr>
                <w:rFonts w:eastAsia="Times New Roman" w:cstheme="minorHAnsi"/>
                <w:sz w:val="20"/>
                <w:szCs w:val="20"/>
              </w:rPr>
              <w:t>.0</w:t>
            </w:r>
            <w:r w:rsidRPr="00ED1BAA">
              <w:rPr>
                <w:rFonts w:eastAsia="Times New Roman" w:cstheme="minorHAnsi"/>
                <w:sz w:val="20"/>
                <w:szCs w:val="20"/>
              </w:rPr>
              <w:t xml:space="preserve"> million per aggregate; provider must have liability insurance and supply a copy of the liability insurance certificate for credentialing submission</w:t>
            </w:r>
          </w:p>
          <w:p w14:paraId="0B0B6AFE" w14:textId="77777777" w:rsidR="00AB2E00" w:rsidRPr="00ED1BAA" w:rsidRDefault="00AB2E00">
            <w:pPr>
              <w:rPr>
                <w:rFonts w:cstheme="minorHAnsi"/>
                <w:sz w:val="20"/>
                <w:szCs w:val="20"/>
              </w:rPr>
            </w:pPr>
          </w:p>
        </w:tc>
      </w:tr>
      <w:tr w:rsidR="00AB2E00" w:rsidRPr="00ED1BAA" w14:paraId="66218EE4" w14:textId="77777777" w:rsidTr="00D57D0D">
        <w:tc>
          <w:tcPr>
            <w:tcW w:w="1705" w:type="dxa"/>
          </w:tcPr>
          <w:p w14:paraId="36CA1125" w14:textId="77777777" w:rsidR="00AB2E00" w:rsidRPr="00ED1BAA" w:rsidRDefault="00D57D0D">
            <w:pPr>
              <w:rPr>
                <w:rFonts w:cstheme="minorHAnsi"/>
                <w:sz w:val="20"/>
                <w:szCs w:val="20"/>
              </w:rPr>
            </w:pPr>
            <w:r w:rsidRPr="00ED1BAA">
              <w:rPr>
                <w:rFonts w:cstheme="minorHAnsi"/>
                <w:sz w:val="20"/>
                <w:szCs w:val="20"/>
              </w:rPr>
              <w:t>IFSP</w:t>
            </w:r>
          </w:p>
        </w:tc>
        <w:tc>
          <w:tcPr>
            <w:tcW w:w="3330" w:type="dxa"/>
          </w:tcPr>
          <w:p w14:paraId="010084F3" w14:textId="77777777" w:rsidR="004B64D8" w:rsidRPr="00ED1BAA" w:rsidRDefault="004B64D8">
            <w:pPr>
              <w:rPr>
                <w:rFonts w:cstheme="minorHAnsi"/>
                <w:sz w:val="20"/>
                <w:szCs w:val="20"/>
              </w:rPr>
            </w:pPr>
            <w:r w:rsidRPr="00ED1BAA">
              <w:rPr>
                <w:rFonts w:cstheme="minorHAnsi"/>
                <w:sz w:val="20"/>
                <w:szCs w:val="20"/>
              </w:rPr>
              <w:t xml:space="preserve">IFSP must be on file with the MCO for the claim to be considered a Clean Claim. </w:t>
            </w:r>
          </w:p>
          <w:p w14:paraId="0BF8FCDA" w14:textId="77777777" w:rsidR="004B64D8" w:rsidRPr="00ED1BAA" w:rsidRDefault="004B64D8">
            <w:pPr>
              <w:rPr>
                <w:rFonts w:cstheme="minorHAnsi"/>
                <w:sz w:val="20"/>
                <w:szCs w:val="20"/>
              </w:rPr>
            </w:pPr>
          </w:p>
          <w:p w14:paraId="6A08EEDE" w14:textId="77777777" w:rsidR="00AB2E00" w:rsidRPr="00ED1BAA" w:rsidRDefault="004B64D8">
            <w:pPr>
              <w:rPr>
                <w:rFonts w:cstheme="minorHAnsi"/>
                <w:sz w:val="20"/>
                <w:szCs w:val="20"/>
              </w:rPr>
            </w:pPr>
            <w:r w:rsidRPr="00ED1BAA">
              <w:rPr>
                <w:rFonts w:cstheme="minorHAnsi"/>
                <w:sz w:val="20"/>
                <w:szCs w:val="20"/>
              </w:rPr>
              <w:t>If the IFSP is not on file with the MCO prior to the MCO receiving the claim, the claim will not be considered clean and the 14-day timeframe does not apply.</w:t>
            </w:r>
          </w:p>
        </w:tc>
        <w:tc>
          <w:tcPr>
            <w:tcW w:w="3330" w:type="dxa"/>
          </w:tcPr>
          <w:p w14:paraId="73C09E6A" w14:textId="77777777" w:rsidR="00AB2E00" w:rsidRPr="00ED1BAA" w:rsidRDefault="00B1288F" w:rsidP="004B64D8">
            <w:pPr>
              <w:pStyle w:val="ListParagraph"/>
              <w:numPr>
                <w:ilvl w:val="0"/>
                <w:numId w:val="3"/>
              </w:numPr>
              <w:ind w:left="216" w:hanging="216"/>
              <w:rPr>
                <w:rFonts w:cstheme="minorHAnsi"/>
                <w:sz w:val="20"/>
                <w:szCs w:val="20"/>
              </w:rPr>
            </w:pPr>
            <w:r w:rsidRPr="00ED1BAA">
              <w:rPr>
                <w:rFonts w:cstheme="minorHAnsi"/>
                <w:sz w:val="20"/>
                <w:szCs w:val="20"/>
              </w:rPr>
              <w:t>M</w:t>
            </w:r>
            <w:r w:rsidR="004B64D8" w:rsidRPr="00ED1BAA">
              <w:rPr>
                <w:rFonts w:cstheme="minorHAnsi"/>
                <w:sz w:val="20"/>
                <w:szCs w:val="20"/>
              </w:rPr>
              <w:t>ethod for LLAs to submit IFSP (fax, email) with the specific contact information</w:t>
            </w:r>
          </w:p>
          <w:p w14:paraId="3F8A2FE9" w14:textId="77777777" w:rsidR="002541B5" w:rsidRPr="00ED1BAA" w:rsidRDefault="00B1288F" w:rsidP="004B64D8">
            <w:pPr>
              <w:pStyle w:val="ListParagraph"/>
              <w:numPr>
                <w:ilvl w:val="0"/>
                <w:numId w:val="3"/>
              </w:numPr>
              <w:ind w:left="216" w:hanging="216"/>
              <w:rPr>
                <w:rFonts w:cstheme="minorHAnsi"/>
                <w:sz w:val="20"/>
                <w:szCs w:val="20"/>
              </w:rPr>
            </w:pPr>
            <w:r w:rsidRPr="00ED1BAA">
              <w:rPr>
                <w:rFonts w:cstheme="minorHAnsi"/>
                <w:sz w:val="20"/>
                <w:szCs w:val="20"/>
              </w:rPr>
              <w:t>S</w:t>
            </w:r>
            <w:r w:rsidR="002541B5" w:rsidRPr="00ED1BAA">
              <w:rPr>
                <w:rFonts w:cstheme="minorHAnsi"/>
                <w:sz w:val="20"/>
                <w:szCs w:val="20"/>
              </w:rPr>
              <w:t>ubmission process of multiple IFSPs, i.e., batch or individual files</w:t>
            </w:r>
          </w:p>
          <w:p w14:paraId="335CCA99" w14:textId="77777777" w:rsidR="004B64D8" w:rsidRPr="00ED1BAA" w:rsidRDefault="00B1288F" w:rsidP="004B64D8">
            <w:pPr>
              <w:pStyle w:val="ListParagraph"/>
              <w:numPr>
                <w:ilvl w:val="0"/>
                <w:numId w:val="3"/>
              </w:numPr>
              <w:ind w:left="216" w:hanging="216"/>
              <w:rPr>
                <w:rFonts w:cstheme="minorHAnsi"/>
                <w:sz w:val="20"/>
                <w:szCs w:val="20"/>
              </w:rPr>
            </w:pPr>
            <w:r w:rsidRPr="00ED1BAA">
              <w:rPr>
                <w:rFonts w:cstheme="minorHAnsi"/>
                <w:sz w:val="20"/>
                <w:szCs w:val="20"/>
              </w:rPr>
              <w:t>C</w:t>
            </w:r>
            <w:r w:rsidR="004B64D8" w:rsidRPr="00ED1BAA">
              <w:rPr>
                <w:rFonts w:cstheme="minorHAnsi"/>
                <w:sz w:val="20"/>
                <w:szCs w:val="20"/>
              </w:rPr>
              <w:t>onfirmation of receipt of IFSP</w:t>
            </w:r>
          </w:p>
        </w:tc>
        <w:tc>
          <w:tcPr>
            <w:tcW w:w="10530" w:type="dxa"/>
          </w:tcPr>
          <w:p w14:paraId="09D517F7" w14:textId="77777777" w:rsidR="00AB2E00" w:rsidRPr="00ED1BAA" w:rsidRDefault="00894D0F">
            <w:pPr>
              <w:rPr>
                <w:rFonts w:cstheme="minorHAnsi"/>
                <w:sz w:val="20"/>
                <w:szCs w:val="20"/>
              </w:rPr>
            </w:pPr>
            <w:r w:rsidRPr="00ED1BAA">
              <w:rPr>
                <w:rFonts w:cstheme="minorHAnsi"/>
                <w:sz w:val="20"/>
                <w:szCs w:val="20"/>
              </w:rPr>
              <w:t xml:space="preserve">IFSP can be emailed to </w:t>
            </w:r>
            <w:hyperlink r:id="rId9" w:history="1">
              <w:r w:rsidRPr="00ED1BAA">
                <w:rPr>
                  <w:rStyle w:val="Hyperlink"/>
                  <w:rFonts w:cstheme="minorHAnsi"/>
                  <w:sz w:val="20"/>
                  <w:szCs w:val="20"/>
                </w:rPr>
                <w:t>earlyinterventionservices@aetna.com</w:t>
              </w:r>
            </w:hyperlink>
            <w:r w:rsidRPr="00ED1BAA">
              <w:rPr>
                <w:rFonts w:cstheme="minorHAnsi"/>
                <w:sz w:val="20"/>
                <w:szCs w:val="20"/>
              </w:rPr>
              <w:t xml:space="preserve"> or Faxed to 866-261-0581</w:t>
            </w:r>
            <w:r w:rsidR="00207E52" w:rsidRPr="00ED1BAA">
              <w:rPr>
                <w:rFonts w:cstheme="minorHAnsi"/>
                <w:sz w:val="20"/>
                <w:szCs w:val="20"/>
              </w:rPr>
              <w:t>.</w:t>
            </w:r>
          </w:p>
          <w:p w14:paraId="4F05240A" w14:textId="77777777" w:rsidR="00207E52" w:rsidRPr="00ED1BAA" w:rsidRDefault="00207E52">
            <w:pPr>
              <w:rPr>
                <w:rFonts w:cstheme="minorHAnsi"/>
                <w:sz w:val="20"/>
                <w:szCs w:val="20"/>
              </w:rPr>
            </w:pPr>
            <w:r w:rsidRPr="00ED1BAA">
              <w:rPr>
                <w:rFonts w:cstheme="minorHAnsi"/>
                <w:sz w:val="20"/>
                <w:szCs w:val="20"/>
              </w:rPr>
              <w:t>The process for multiple is not different, can use the email or fax.</w:t>
            </w:r>
          </w:p>
          <w:p w14:paraId="13446E26" w14:textId="77777777" w:rsidR="0000246D" w:rsidRPr="00ED1BAA" w:rsidRDefault="0000246D">
            <w:pPr>
              <w:rPr>
                <w:rFonts w:cstheme="minorHAnsi"/>
                <w:sz w:val="20"/>
                <w:szCs w:val="20"/>
              </w:rPr>
            </w:pPr>
          </w:p>
          <w:p w14:paraId="43426B77" w14:textId="77777777" w:rsidR="00207E52" w:rsidRPr="00ED1BAA" w:rsidRDefault="00207E52">
            <w:pPr>
              <w:rPr>
                <w:rFonts w:cstheme="minorHAnsi"/>
                <w:sz w:val="20"/>
                <w:szCs w:val="20"/>
              </w:rPr>
            </w:pPr>
            <w:r w:rsidRPr="00ED1BAA">
              <w:rPr>
                <w:rFonts w:cstheme="minorHAnsi"/>
                <w:sz w:val="20"/>
                <w:szCs w:val="20"/>
              </w:rPr>
              <w:t>We do make outreach to the provider once we receive it to inform of the case managers name and contact information assigned. This is often left via voice mail on the form received. *** NOTE** perhaps the providers are not receiving these messages, do they have a specific process or email that they would like for the MCO to use to inform them of this information?***</w:t>
            </w:r>
          </w:p>
        </w:tc>
      </w:tr>
      <w:tr w:rsidR="00AB2E00" w:rsidRPr="00ED1BAA" w14:paraId="59C6C9B3" w14:textId="77777777" w:rsidTr="00D57D0D">
        <w:tc>
          <w:tcPr>
            <w:tcW w:w="1705" w:type="dxa"/>
          </w:tcPr>
          <w:p w14:paraId="3073B8CA" w14:textId="77777777" w:rsidR="00AB2E00" w:rsidRPr="00ED1BAA" w:rsidRDefault="002541B5">
            <w:pPr>
              <w:rPr>
                <w:rFonts w:cstheme="minorHAnsi"/>
                <w:sz w:val="20"/>
                <w:szCs w:val="20"/>
              </w:rPr>
            </w:pPr>
            <w:r w:rsidRPr="00ED1BAA">
              <w:rPr>
                <w:rFonts w:cstheme="minorHAnsi"/>
                <w:sz w:val="20"/>
                <w:szCs w:val="20"/>
              </w:rPr>
              <w:t>Clean Claim</w:t>
            </w:r>
          </w:p>
        </w:tc>
        <w:tc>
          <w:tcPr>
            <w:tcW w:w="3330" w:type="dxa"/>
          </w:tcPr>
          <w:p w14:paraId="6284EFCD" w14:textId="77777777" w:rsidR="00AB2E00" w:rsidRPr="00ED1BAA" w:rsidRDefault="002541B5">
            <w:pPr>
              <w:rPr>
                <w:rFonts w:cstheme="minorHAnsi"/>
                <w:sz w:val="20"/>
                <w:szCs w:val="20"/>
              </w:rPr>
            </w:pPr>
            <w:r w:rsidRPr="00ED1BAA">
              <w:rPr>
                <w:rFonts w:cstheme="minorHAnsi"/>
                <w:sz w:val="20"/>
                <w:szCs w:val="20"/>
              </w:rPr>
              <w:t>Clean claims must be paid within 14 days.</w:t>
            </w:r>
          </w:p>
        </w:tc>
        <w:tc>
          <w:tcPr>
            <w:tcW w:w="3330" w:type="dxa"/>
          </w:tcPr>
          <w:p w14:paraId="20F0842F" w14:textId="77777777" w:rsidR="00AB2E00" w:rsidRPr="00ED1BAA" w:rsidRDefault="00B1288F" w:rsidP="002541B5">
            <w:pPr>
              <w:pStyle w:val="ListParagraph"/>
              <w:numPr>
                <w:ilvl w:val="0"/>
                <w:numId w:val="4"/>
              </w:numPr>
              <w:ind w:left="216" w:hanging="216"/>
              <w:rPr>
                <w:rFonts w:cstheme="minorHAnsi"/>
                <w:sz w:val="20"/>
                <w:szCs w:val="20"/>
              </w:rPr>
            </w:pPr>
            <w:r w:rsidRPr="00ED1BAA">
              <w:rPr>
                <w:rFonts w:cstheme="minorHAnsi"/>
                <w:sz w:val="20"/>
                <w:szCs w:val="20"/>
              </w:rPr>
              <w:t>P</w:t>
            </w:r>
            <w:r w:rsidR="002541B5" w:rsidRPr="00ED1BAA">
              <w:rPr>
                <w:rFonts w:cstheme="minorHAnsi"/>
                <w:sz w:val="20"/>
                <w:szCs w:val="20"/>
              </w:rPr>
              <w:t>rocess for non-clean claims, i.e., rejected or denied</w:t>
            </w:r>
          </w:p>
          <w:p w14:paraId="460BCA74" w14:textId="77777777" w:rsidR="002541B5" w:rsidRPr="00ED1BAA" w:rsidRDefault="00B1288F" w:rsidP="00B1288F">
            <w:pPr>
              <w:pStyle w:val="ListParagraph"/>
              <w:numPr>
                <w:ilvl w:val="0"/>
                <w:numId w:val="4"/>
              </w:numPr>
              <w:ind w:left="216" w:hanging="216"/>
              <w:rPr>
                <w:rFonts w:cstheme="minorHAnsi"/>
                <w:sz w:val="20"/>
                <w:szCs w:val="20"/>
              </w:rPr>
            </w:pPr>
            <w:r w:rsidRPr="00ED1BAA">
              <w:rPr>
                <w:rFonts w:cstheme="minorHAnsi"/>
                <w:sz w:val="20"/>
                <w:szCs w:val="20"/>
              </w:rPr>
              <w:t xml:space="preserve">Process for handling </w:t>
            </w:r>
            <w:r w:rsidR="002541B5" w:rsidRPr="00ED1BAA">
              <w:rPr>
                <w:rFonts w:cstheme="minorHAnsi"/>
                <w:sz w:val="20"/>
                <w:szCs w:val="20"/>
              </w:rPr>
              <w:t>non-clean claims with the provider</w:t>
            </w:r>
          </w:p>
        </w:tc>
        <w:tc>
          <w:tcPr>
            <w:tcW w:w="10530" w:type="dxa"/>
          </w:tcPr>
          <w:p w14:paraId="4D6293A4" w14:textId="77777777" w:rsidR="00AB2E00" w:rsidRPr="00ED1BAA" w:rsidRDefault="00495BD2">
            <w:pPr>
              <w:rPr>
                <w:rFonts w:cstheme="minorHAnsi"/>
                <w:sz w:val="20"/>
                <w:szCs w:val="20"/>
              </w:rPr>
            </w:pPr>
            <w:r w:rsidRPr="00ED1BAA">
              <w:rPr>
                <w:rFonts w:cstheme="minorHAnsi"/>
                <w:sz w:val="20"/>
                <w:szCs w:val="20"/>
              </w:rPr>
              <w:t>Non-clean claims rejected, or denied, p</w:t>
            </w:r>
            <w:r w:rsidR="00BC418A" w:rsidRPr="00ED1BAA">
              <w:rPr>
                <w:rFonts w:cstheme="minorHAnsi"/>
                <w:sz w:val="20"/>
                <w:szCs w:val="20"/>
              </w:rPr>
              <w:t xml:space="preserve">rovider </w:t>
            </w:r>
            <w:r w:rsidRPr="00ED1BAA">
              <w:rPr>
                <w:rFonts w:cstheme="minorHAnsi"/>
                <w:sz w:val="20"/>
                <w:szCs w:val="20"/>
              </w:rPr>
              <w:t xml:space="preserve">should </w:t>
            </w:r>
            <w:r w:rsidR="00C05B66" w:rsidRPr="00ED1BAA">
              <w:rPr>
                <w:rFonts w:cstheme="minorHAnsi"/>
                <w:sz w:val="20"/>
                <w:szCs w:val="20"/>
              </w:rPr>
              <w:t>review remit rejection</w:t>
            </w:r>
            <w:r w:rsidRPr="00ED1BAA">
              <w:rPr>
                <w:rFonts w:cstheme="minorHAnsi"/>
                <w:sz w:val="20"/>
                <w:szCs w:val="20"/>
              </w:rPr>
              <w:t>/denial</w:t>
            </w:r>
            <w:r w:rsidR="00C05B66" w:rsidRPr="00ED1BAA">
              <w:rPr>
                <w:rFonts w:cstheme="minorHAnsi"/>
                <w:sz w:val="20"/>
                <w:szCs w:val="20"/>
              </w:rPr>
              <w:t xml:space="preserve"> reason</w:t>
            </w:r>
            <w:r w:rsidRPr="00ED1BAA">
              <w:rPr>
                <w:rFonts w:cstheme="minorHAnsi"/>
                <w:sz w:val="20"/>
                <w:szCs w:val="20"/>
              </w:rPr>
              <w:t xml:space="preserve">.  If a billing error occurred provider should submit corrected claim(s).  Providers can also contact our Claims Inquiry Claims Research Group at 1-855-652-8249 for CCC Plus claims questions and 1-800-279-1878 for Medallion/FAMIS 4.0 claims questions. </w:t>
            </w:r>
          </w:p>
        </w:tc>
      </w:tr>
      <w:tr w:rsidR="00AB2E00" w:rsidRPr="00ED1BAA" w14:paraId="0CD65973" w14:textId="77777777" w:rsidTr="00D57D0D">
        <w:tc>
          <w:tcPr>
            <w:tcW w:w="1705" w:type="dxa"/>
          </w:tcPr>
          <w:p w14:paraId="3A34D10A" w14:textId="77777777" w:rsidR="00AB2E00" w:rsidRPr="00ED1BAA" w:rsidRDefault="00473E07">
            <w:pPr>
              <w:rPr>
                <w:rFonts w:cstheme="minorHAnsi"/>
                <w:sz w:val="20"/>
                <w:szCs w:val="20"/>
              </w:rPr>
            </w:pPr>
            <w:r w:rsidRPr="00ED1BAA">
              <w:rPr>
                <w:rFonts w:cstheme="minorHAnsi"/>
                <w:sz w:val="20"/>
                <w:szCs w:val="20"/>
              </w:rPr>
              <w:t>Decline to Bill Form</w:t>
            </w:r>
            <w:r w:rsidR="003B6463" w:rsidRPr="00ED1BAA">
              <w:rPr>
                <w:rFonts w:cstheme="minorHAnsi"/>
                <w:sz w:val="20"/>
                <w:szCs w:val="20"/>
              </w:rPr>
              <w:t xml:space="preserve"> and EOB</w:t>
            </w:r>
          </w:p>
        </w:tc>
        <w:tc>
          <w:tcPr>
            <w:tcW w:w="3330" w:type="dxa"/>
          </w:tcPr>
          <w:p w14:paraId="17442D86" w14:textId="77777777" w:rsidR="00B1288F" w:rsidRPr="00ED1BAA" w:rsidRDefault="00B1288F" w:rsidP="003B6463">
            <w:pPr>
              <w:rPr>
                <w:rFonts w:cstheme="minorHAnsi"/>
                <w:sz w:val="20"/>
                <w:szCs w:val="20"/>
              </w:rPr>
            </w:pPr>
            <w:r w:rsidRPr="00ED1BAA">
              <w:rPr>
                <w:rFonts w:cstheme="minorHAnsi"/>
                <w:sz w:val="20"/>
                <w:szCs w:val="20"/>
              </w:rPr>
              <w:t>Families may decline to bill their private insurance for coverage of EI services and will sign the Decline to Bill Form. LLAs will have this form on file.</w:t>
            </w:r>
          </w:p>
          <w:p w14:paraId="2D932CB2" w14:textId="77777777" w:rsidR="003B6463" w:rsidRPr="00ED1BAA" w:rsidRDefault="003B6463" w:rsidP="003B6463">
            <w:pPr>
              <w:rPr>
                <w:rFonts w:cstheme="minorHAnsi"/>
                <w:sz w:val="20"/>
                <w:szCs w:val="20"/>
              </w:rPr>
            </w:pPr>
          </w:p>
          <w:p w14:paraId="0226794A" w14:textId="77777777" w:rsidR="003B6463" w:rsidRPr="00ED1BAA" w:rsidRDefault="003B6463" w:rsidP="003B6463">
            <w:pPr>
              <w:rPr>
                <w:rFonts w:cstheme="minorHAnsi"/>
                <w:sz w:val="20"/>
                <w:szCs w:val="20"/>
              </w:rPr>
            </w:pPr>
            <w:r w:rsidRPr="00ED1BAA">
              <w:rPr>
                <w:rFonts w:cstheme="minorHAnsi"/>
                <w:sz w:val="20"/>
                <w:szCs w:val="20"/>
              </w:rPr>
              <w:t>If family does not decline to bill, the private insurance will send EOB</w:t>
            </w:r>
          </w:p>
        </w:tc>
        <w:tc>
          <w:tcPr>
            <w:tcW w:w="3330" w:type="dxa"/>
          </w:tcPr>
          <w:p w14:paraId="1907D072" w14:textId="77777777" w:rsidR="00AB2E00" w:rsidRPr="00ED1BAA" w:rsidRDefault="00B1288F" w:rsidP="00B1288F">
            <w:pPr>
              <w:pStyle w:val="ListParagraph"/>
              <w:numPr>
                <w:ilvl w:val="0"/>
                <w:numId w:val="5"/>
              </w:numPr>
              <w:ind w:left="216" w:hanging="216"/>
              <w:rPr>
                <w:rFonts w:cstheme="minorHAnsi"/>
                <w:sz w:val="20"/>
                <w:szCs w:val="20"/>
              </w:rPr>
            </w:pPr>
            <w:r w:rsidRPr="00ED1BAA">
              <w:rPr>
                <w:rFonts w:cstheme="minorHAnsi"/>
                <w:sz w:val="20"/>
                <w:szCs w:val="20"/>
              </w:rPr>
              <w:t>Submission process for Decline to Bill Form</w:t>
            </w:r>
          </w:p>
          <w:p w14:paraId="5BD4609C" w14:textId="77777777" w:rsidR="00B1288F" w:rsidRPr="00ED1BAA" w:rsidRDefault="00B1288F" w:rsidP="00B1288F">
            <w:pPr>
              <w:pStyle w:val="ListParagraph"/>
              <w:numPr>
                <w:ilvl w:val="0"/>
                <w:numId w:val="5"/>
              </w:numPr>
              <w:ind w:left="216" w:hanging="216"/>
              <w:rPr>
                <w:rFonts w:cstheme="minorHAnsi"/>
                <w:sz w:val="20"/>
                <w:szCs w:val="20"/>
              </w:rPr>
            </w:pPr>
            <w:r w:rsidRPr="00ED1BAA">
              <w:rPr>
                <w:rFonts w:cstheme="minorHAnsi"/>
                <w:sz w:val="20"/>
                <w:szCs w:val="20"/>
              </w:rPr>
              <w:t>Process for ensuring Claims Department is aware of Decline to Bill form</w:t>
            </w:r>
          </w:p>
          <w:p w14:paraId="7D8B1E2E" w14:textId="77777777" w:rsidR="00B1288F" w:rsidRPr="00ED1BAA" w:rsidRDefault="00B1288F" w:rsidP="00B1288F">
            <w:pPr>
              <w:pStyle w:val="ListParagraph"/>
              <w:numPr>
                <w:ilvl w:val="0"/>
                <w:numId w:val="5"/>
              </w:numPr>
              <w:ind w:left="216" w:hanging="216"/>
              <w:rPr>
                <w:rFonts w:cstheme="minorHAnsi"/>
                <w:sz w:val="20"/>
                <w:szCs w:val="20"/>
              </w:rPr>
            </w:pPr>
            <w:r w:rsidRPr="00ED1BAA">
              <w:rPr>
                <w:rFonts w:cstheme="minorHAnsi"/>
                <w:sz w:val="20"/>
                <w:szCs w:val="20"/>
              </w:rPr>
              <w:t xml:space="preserve">Process for handling claims when Decline to Bill is </w:t>
            </w:r>
            <w:r w:rsidR="003B6463" w:rsidRPr="00ED1BAA">
              <w:rPr>
                <w:rFonts w:cstheme="minorHAnsi"/>
                <w:sz w:val="20"/>
                <w:szCs w:val="20"/>
              </w:rPr>
              <w:t xml:space="preserve">or the EOB are </w:t>
            </w:r>
            <w:r w:rsidRPr="00ED1BAA">
              <w:rPr>
                <w:rFonts w:cstheme="minorHAnsi"/>
                <w:sz w:val="20"/>
                <w:szCs w:val="20"/>
              </w:rPr>
              <w:t>not on file</w:t>
            </w:r>
          </w:p>
        </w:tc>
        <w:tc>
          <w:tcPr>
            <w:tcW w:w="10530" w:type="dxa"/>
          </w:tcPr>
          <w:p w14:paraId="5D11BEEC" w14:textId="77777777" w:rsidR="00AB2E00" w:rsidRPr="00ED1BAA" w:rsidRDefault="0011179C">
            <w:pPr>
              <w:rPr>
                <w:rFonts w:cstheme="minorHAnsi"/>
                <w:sz w:val="20"/>
                <w:szCs w:val="20"/>
              </w:rPr>
            </w:pPr>
            <w:r w:rsidRPr="00ED1BAA">
              <w:rPr>
                <w:rFonts w:cstheme="minorHAnsi"/>
                <w:sz w:val="20"/>
                <w:szCs w:val="20"/>
              </w:rPr>
              <w:t xml:space="preserve">Decline to Bill form should submitted with the IFSP.  When received by </w:t>
            </w:r>
            <w:r w:rsidR="005E092B" w:rsidRPr="00ED1BAA">
              <w:rPr>
                <w:rFonts w:cstheme="minorHAnsi"/>
                <w:sz w:val="20"/>
                <w:szCs w:val="20"/>
              </w:rPr>
              <w:t>our</w:t>
            </w:r>
            <w:r w:rsidRPr="00ED1BAA">
              <w:rPr>
                <w:rFonts w:cstheme="minorHAnsi"/>
                <w:sz w:val="20"/>
                <w:szCs w:val="20"/>
              </w:rPr>
              <w:t xml:space="preserve"> UM Department, and the Decline to Bill form is included with the IFSP, they will add a member alert in claims processing system.  When a member alert is added, it </w:t>
            </w:r>
            <w:r w:rsidR="004A0484" w:rsidRPr="00ED1BAA">
              <w:rPr>
                <w:rFonts w:cstheme="minorHAnsi"/>
                <w:sz w:val="20"/>
                <w:szCs w:val="20"/>
              </w:rPr>
              <w:t xml:space="preserve">automatically </w:t>
            </w:r>
            <w:r w:rsidRPr="00ED1BAA">
              <w:rPr>
                <w:rFonts w:cstheme="minorHAnsi"/>
                <w:sz w:val="20"/>
                <w:szCs w:val="20"/>
              </w:rPr>
              <w:t>notify Claims Processors t</w:t>
            </w:r>
            <w:r w:rsidR="004A0484" w:rsidRPr="00ED1BAA">
              <w:rPr>
                <w:rFonts w:cstheme="minorHAnsi"/>
                <w:sz w:val="20"/>
                <w:szCs w:val="20"/>
              </w:rPr>
              <w:t>hat are processing EI claims to bypass primary insurance and process Medicaid primary.</w:t>
            </w:r>
          </w:p>
        </w:tc>
      </w:tr>
      <w:tr w:rsidR="00AB2E00" w:rsidRPr="00ED1BAA" w14:paraId="6BCADEEE" w14:textId="77777777" w:rsidTr="00D57D0D">
        <w:tc>
          <w:tcPr>
            <w:tcW w:w="1705" w:type="dxa"/>
          </w:tcPr>
          <w:p w14:paraId="163251F8" w14:textId="56F065C8" w:rsidR="007A2233" w:rsidRDefault="003B6463">
            <w:pPr>
              <w:rPr>
                <w:rFonts w:cstheme="minorHAnsi"/>
                <w:sz w:val="20"/>
                <w:szCs w:val="20"/>
              </w:rPr>
            </w:pPr>
            <w:r w:rsidRPr="00ED1BAA">
              <w:rPr>
                <w:rFonts w:cstheme="minorHAnsi"/>
                <w:sz w:val="20"/>
                <w:szCs w:val="20"/>
              </w:rPr>
              <w:t>EI Enrollment and Indicator</w:t>
            </w:r>
          </w:p>
          <w:p w14:paraId="2F9DB878" w14:textId="77777777" w:rsidR="007A2233" w:rsidRPr="007A2233" w:rsidRDefault="007A2233" w:rsidP="007A2233">
            <w:pPr>
              <w:rPr>
                <w:rFonts w:cstheme="minorHAnsi"/>
                <w:sz w:val="20"/>
                <w:szCs w:val="20"/>
              </w:rPr>
            </w:pPr>
          </w:p>
          <w:p w14:paraId="2046BEEB" w14:textId="77777777" w:rsidR="007A2233" w:rsidRPr="007A2233" w:rsidRDefault="007A2233" w:rsidP="007A2233">
            <w:pPr>
              <w:rPr>
                <w:rFonts w:cstheme="minorHAnsi"/>
                <w:sz w:val="20"/>
                <w:szCs w:val="20"/>
              </w:rPr>
            </w:pPr>
          </w:p>
          <w:p w14:paraId="6EBD687F" w14:textId="77777777" w:rsidR="007A2233" w:rsidRPr="007A2233" w:rsidRDefault="007A2233" w:rsidP="007A2233">
            <w:pPr>
              <w:rPr>
                <w:rFonts w:cstheme="minorHAnsi"/>
                <w:sz w:val="20"/>
                <w:szCs w:val="20"/>
              </w:rPr>
            </w:pPr>
          </w:p>
          <w:p w14:paraId="5F7D87B1" w14:textId="3C0D33A8" w:rsidR="007A2233" w:rsidRDefault="007A2233" w:rsidP="007A2233">
            <w:pPr>
              <w:rPr>
                <w:rFonts w:cstheme="minorHAnsi"/>
                <w:sz w:val="20"/>
                <w:szCs w:val="20"/>
              </w:rPr>
            </w:pPr>
          </w:p>
          <w:p w14:paraId="049664B4" w14:textId="77777777" w:rsidR="007A2233" w:rsidRPr="007A2233" w:rsidRDefault="007A2233" w:rsidP="007A2233">
            <w:pPr>
              <w:rPr>
                <w:rFonts w:cstheme="minorHAnsi"/>
                <w:sz w:val="20"/>
                <w:szCs w:val="20"/>
              </w:rPr>
            </w:pPr>
          </w:p>
          <w:p w14:paraId="61838D92" w14:textId="486101CE" w:rsidR="007A2233" w:rsidRDefault="007A2233" w:rsidP="007A2233">
            <w:pPr>
              <w:rPr>
                <w:rFonts w:cstheme="minorHAnsi"/>
                <w:sz w:val="20"/>
                <w:szCs w:val="20"/>
              </w:rPr>
            </w:pPr>
          </w:p>
          <w:p w14:paraId="4C8F086A" w14:textId="5BD1998C" w:rsidR="00AB2E00" w:rsidRPr="007A2233" w:rsidRDefault="007A2233" w:rsidP="007A2233">
            <w:pPr>
              <w:tabs>
                <w:tab w:val="left" w:pos="1248"/>
              </w:tabs>
              <w:rPr>
                <w:rFonts w:cstheme="minorHAnsi"/>
                <w:sz w:val="20"/>
                <w:szCs w:val="20"/>
              </w:rPr>
            </w:pPr>
            <w:r>
              <w:rPr>
                <w:rFonts w:cstheme="minorHAnsi"/>
                <w:sz w:val="20"/>
                <w:szCs w:val="20"/>
              </w:rPr>
              <w:tab/>
            </w:r>
          </w:p>
        </w:tc>
        <w:tc>
          <w:tcPr>
            <w:tcW w:w="3330" w:type="dxa"/>
          </w:tcPr>
          <w:p w14:paraId="237F4B9F" w14:textId="77777777" w:rsidR="00AB2E00" w:rsidRPr="00ED1BAA" w:rsidRDefault="003B6463">
            <w:pPr>
              <w:rPr>
                <w:rFonts w:cstheme="minorHAnsi"/>
                <w:sz w:val="20"/>
                <w:szCs w:val="20"/>
              </w:rPr>
            </w:pPr>
            <w:r w:rsidRPr="00ED1BAA">
              <w:rPr>
                <w:rFonts w:cstheme="minorHAnsi"/>
                <w:sz w:val="20"/>
                <w:szCs w:val="20"/>
              </w:rPr>
              <w:t xml:space="preserve">A child must have an EI indicator on the enrollment file in order for an EI service to be reimbursed. </w:t>
            </w:r>
          </w:p>
          <w:p w14:paraId="6584D2E6" w14:textId="77777777" w:rsidR="003B6463" w:rsidRPr="00ED1BAA" w:rsidRDefault="003B6463">
            <w:pPr>
              <w:rPr>
                <w:rFonts w:cstheme="minorHAnsi"/>
                <w:sz w:val="20"/>
                <w:szCs w:val="20"/>
              </w:rPr>
            </w:pPr>
          </w:p>
          <w:p w14:paraId="339BADFA" w14:textId="77777777" w:rsidR="003B6463" w:rsidRPr="00ED1BAA" w:rsidRDefault="003B6463" w:rsidP="0000246D">
            <w:pPr>
              <w:rPr>
                <w:rFonts w:cstheme="minorHAnsi"/>
                <w:sz w:val="20"/>
                <w:szCs w:val="20"/>
              </w:rPr>
            </w:pPr>
            <w:r w:rsidRPr="00ED1BAA">
              <w:rPr>
                <w:rFonts w:cstheme="minorHAnsi"/>
                <w:sz w:val="20"/>
                <w:szCs w:val="20"/>
              </w:rPr>
              <w:t xml:space="preserve">Due to timing of the enrollment file, if the provider bills prior to the MCO receiving the file listing the child as having the EI indicator, the claim will deny due to “child not enrolled in the </w:t>
            </w:r>
            <w:r w:rsidRPr="00ED1BAA">
              <w:rPr>
                <w:rFonts w:cstheme="minorHAnsi"/>
                <w:sz w:val="20"/>
                <w:szCs w:val="20"/>
              </w:rPr>
              <w:lastRenderedPageBreak/>
              <w:t>EI”.</w:t>
            </w:r>
            <w:r w:rsidR="0000246D" w:rsidRPr="00ED1BAA">
              <w:rPr>
                <w:rFonts w:cstheme="minorHAnsi"/>
                <w:sz w:val="20"/>
                <w:szCs w:val="20"/>
              </w:rPr>
              <w:t xml:space="preserve">  </w:t>
            </w:r>
            <w:r w:rsidRPr="00ED1BAA">
              <w:rPr>
                <w:rFonts w:cstheme="minorHAnsi"/>
                <w:sz w:val="20"/>
                <w:szCs w:val="20"/>
              </w:rPr>
              <w:t>This impacts submission of a clean claim.</w:t>
            </w:r>
          </w:p>
        </w:tc>
        <w:tc>
          <w:tcPr>
            <w:tcW w:w="3330" w:type="dxa"/>
          </w:tcPr>
          <w:p w14:paraId="766E234A" w14:textId="77777777" w:rsidR="00AB2E00" w:rsidRPr="00ED1BAA" w:rsidRDefault="003B6463" w:rsidP="003B6463">
            <w:pPr>
              <w:pStyle w:val="ListParagraph"/>
              <w:numPr>
                <w:ilvl w:val="0"/>
                <w:numId w:val="6"/>
              </w:numPr>
              <w:ind w:left="216" w:hanging="216"/>
              <w:rPr>
                <w:rFonts w:cstheme="minorHAnsi"/>
                <w:sz w:val="20"/>
                <w:szCs w:val="20"/>
              </w:rPr>
            </w:pPr>
            <w:r w:rsidRPr="00ED1BAA">
              <w:rPr>
                <w:rFonts w:cstheme="minorHAnsi"/>
                <w:sz w:val="20"/>
                <w:szCs w:val="20"/>
              </w:rPr>
              <w:lastRenderedPageBreak/>
              <w:t>Process to handle claims when the EI indicator is not on plan enrollment file</w:t>
            </w:r>
          </w:p>
        </w:tc>
        <w:tc>
          <w:tcPr>
            <w:tcW w:w="10530" w:type="dxa"/>
          </w:tcPr>
          <w:p w14:paraId="7A4CB50E" w14:textId="77777777" w:rsidR="00AB2E00" w:rsidRPr="00ED1BAA" w:rsidRDefault="004C033F" w:rsidP="00E62622">
            <w:pPr>
              <w:rPr>
                <w:rFonts w:cstheme="minorHAnsi"/>
                <w:sz w:val="20"/>
                <w:szCs w:val="20"/>
              </w:rPr>
            </w:pPr>
            <w:r w:rsidRPr="00ED1BAA">
              <w:rPr>
                <w:rFonts w:cstheme="minorHAnsi"/>
                <w:sz w:val="20"/>
                <w:szCs w:val="20"/>
              </w:rPr>
              <w:t>Under this scenario, if the Medicaid member is under three (3) years old, and the service billed is an EI service provided by an approved DBHDS</w:t>
            </w:r>
            <w:r w:rsidR="001C030E" w:rsidRPr="00ED1BAA">
              <w:rPr>
                <w:rFonts w:cstheme="minorHAnsi"/>
                <w:sz w:val="20"/>
                <w:szCs w:val="20"/>
              </w:rPr>
              <w:t xml:space="preserve"> -</w:t>
            </w:r>
            <w:r w:rsidRPr="00ED1BAA">
              <w:rPr>
                <w:rFonts w:cstheme="minorHAnsi"/>
                <w:sz w:val="20"/>
                <w:szCs w:val="20"/>
              </w:rPr>
              <w:t xml:space="preserve"> EI </w:t>
            </w:r>
            <w:r w:rsidR="00E62622" w:rsidRPr="00ED1BAA">
              <w:rPr>
                <w:rFonts w:cstheme="minorHAnsi"/>
                <w:sz w:val="20"/>
                <w:szCs w:val="20"/>
              </w:rPr>
              <w:t>provider, these claims will pay full</w:t>
            </w:r>
            <w:r w:rsidR="00FF1A7B" w:rsidRPr="00ED1BAA">
              <w:rPr>
                <w:rFonts w:cstheme="minorHAnsi"/>
                <w:bCs/>
                <w:sz w:val="20"/>
                <w:szCs w:val="20"/>
              </w:rPr>
              <w:t xml:space="preserve"> payment</w:t>
            </w:r>
            <w:r w:rsidR="00FF1A7B" w:rsidRPr="00ED1BAA">
              <w:rPr>
                <w:rFonts w:cstheme="minorHAnsi"/>
                <w:b/>
                <w:bCs/>
                <w:sz w:val="20"/>
                <w:szCs w:val="20"/>
              </w:rPr>
              <w:t xml:space="preserve"> </w:t>
            </w:r>
            <w:r w:rsidR="00FF1A7B" w:rsidRPr="00ED1BAA">
              <w:rPr>
                <w:rFonts w:cstheme="minorHAnsi"/>
                <w:bCs/>
                <w:sz w:val="20"/>
                <w:szCs w:val="20"/>
              </w:rPr>
              <w:t>– there is nothing indicating that a partial payment is warranted.</w:t>
            </w:r>
          </w:p>
        </w:tc>
      </w:tr>
      <w:tr w:rsidR="00AB2E00" w:rsidRPr="00ED1BAA" w14:paraId="3B37CFC5" w14:textId="77777777" w:rsidTr="00D57D0D">
        <w:tc>
          <w:tcPr>
            <w:tcW w:w="1705" w:type="dxa"/>
          </w:tcPr>
          <w:p w14:paraId="60D7529C" w14:textId="77777777" w:rsidR="00AB2E00" w:rsidRPr="00ED1BAA" w:rsidRDefault="005077E5" w:rsidP="005077E5">
            <w:pPr>
              <w:rPr>
                <w:rFonts w:cstheme="minorHAnsi"/>
                <w:sz w:val="20"/>
                <w:szCs w:val="20"/>
              </w:rPr>
            </w:pPr>
            <w:r w:rsidRPr="00ED1BAA">
              <w:rPr>
                <w:rFonts w:cstheme="minorHAnsi"/>
                <w:sz w:val="20"/>
                <w:szCs w:val="20"/>
              </w:rPr>
              <w:t>Care Coordination</w:t>
            </w:r>
          </w:p>
        </w:tc>
        <w:tc>
          <w:tcPr>
            <w:tcW w:w="3330" w:type="dxa"/>
          </w:tcPr>
          <w:p w14:paraId="3F891824" w14:textId="77777777" w:rsidR="00AB2E00" w:rsidRPr="00ED1BAA" w:rsidRDefault="005077E5" w:rsidP="005077E5">
            <w:pPr>
              <w:rPr>
                <w:rFonts w:cstheme="minorHAnsi"/>
                <w:sz w:val="20"/>
                <w:szCs w:val="20"/>
              </w:rPr>
            </w:pPr>
            <w:r w:rsidRPr="00ED1BAA">
              <w:rPr>
                <w:rFonts w:cstheme="minorHAnsi"/>
                <w:sz w:val="20"/>
                <w:szCs w:val="20"/>
              </w:rPr>
              <w:t>Plan care coordinators should collaborate with the EI Service Coordinator</w:t>
            </w:r>
          </w:p>
        </w:tc>
        <w:tc>
          <w:tcPr>
            <w:tcW w:w="3330" w:type="dxa"/>
          </w:tcPr>
          <w:p w14:paraId="09700562" w14:textId="77777777" w:rsidR="00AB2E00" w:rsidRPr="00ED1BAA" w:rsidRDefault="005077E5" w:rsidP="005077E5">
            <w:pPr>
              <w:pStyle w:val="ListParagraph"/>
              <w:numPr>
                <w:ilvl w:val="0"/>
                <w:numId w:val="6"/>
              </w:numPr>
              <w:ind w:left="216" w:hanging="216"/>
              <w:rPr>
                <w:rFonts w:cstheme="minorHAnsi"/>
                <w:sz w:val="20"/>
                <w:szCs w:val="20"/>
              </w:rPr>
            </w:pPr>
            <w:r w:rsidRPr="00ED1BAA">
              <w:rPr>
                <w:rFonts w:cstheme="minorHAnsi"/>
                <w:sz w:val="20"/>
                <w:szCs w:val="20"/>
              </w:rPr>
              <w:t>Role of the care coordinator</w:t>
            </w:r>
          </w:p>
          <w:p w14:paraId="298B2E16" w14:textId="77777777" w:rsidR="005077E5" w:rsidRPr="00ED1BAA" w:rsidRDefault="005077E5" w:rsidP="005077E5">
            <w:pPr>
              <w:pStyle w:val="ListParagraph"/>
              <w:numPr>
                <w:ilvl w:val="0"/>
                <w:numId w:val="6"/>
              </w:numPr>
              <w:ind w:left="216" w:hanging="216"/>
              <w:rPr>
                <w:rFonts w:cstheme="minorHAnsi"/>
                <w:sz w:val="20"/>
                <w:szCs w:val="20"/>
              </w:rPr>
            </w:pPr>
            <w:r w:rsidRPr="00ED1BAA">
              <w:rPr>
                <w:rFonts w:cstheme="minorHAnsi"/>
                <w:sz w:val="20"/>
                <w:szCs w:val="20"/>
              </w:rPr>
              <w:t>Process for exchanging information between care coordinator and service coordinator</w:t>
            </w:r>
          </w:p>
          <w:p w14:paraId="5B73BF48" w14:textId="77777777" w:rsidR="005077E5" w:rsidRPr="00ED1BAA" w:rsidRDefault="005077E5" w:rsidP="005077E5">
            <w:pPr>
              <w:pStyle w:val="ListParagraph"/>
              <w:numPr>
                <w:ilvl w:val="0"/>
                <w:numId w:val="6"/>
              </w:numPr>
              <w:ind w:left="216" w:hanging="216"/>
              <w:rPr>
                <w:rFonts w:cstheme="minorHAnsi"/>
                <w:sz w:val="20"/>
                <w:szCs w:val="20"/>
              </w:rPr>
            </w:pPr>
            <w:r w:rsidRPr="00ED1BAA">
              <w:rPr>
                <w:rFonts w:cstheme="minorHAnsi"/>
                <w:sz w:val="20"/>
                <w:szCs w:val="20"/>
              </w:rPr>
              <w:t>Frequency of contact between coordinators, i.e., timeframe for initial contact and ongoing contact</w:t>
            </w:r>
          </w:p>
        </w:tc>
        <w:tc>
          <w:tcPr>
            <w:tcW w:w="10530" w:type="dxa"/>
          </w:tcPr>
          <w:p w14:paraId="027E1D54" w14:textId="77777777" w:rsidR="00AB2E00" w:rsidRPr="00ED1BAA" w:rsidRDefault="00207E52">
            <w:pPr>
              <w:rPr>
                <w:rFonts w:cstheme="minorHAnsi"/>
                <w:sz w:val="20"/>
                <w:szCs w:val="20"/>
              </w:rPr>
            </w:pPr>
            <w:r w:rsidRPr="00ED1BAA">
              <w:rPr>
                <w:rFonts w:cstheme="minorHAnsi"/>
                <w:sz w:val="20"/>
                <w:szCs w:val="20"/>
              </w:rPr>
              <w:t xml:space="preserve">Once IFSP is received, member is assigned a CC. We outreach the service coordinator via telephone to provide contact information. This usually lends a message being left on a voice mail. The role of the CC at that point is to be available if any needs arise for the member. </w:t>
            </w:r>
            <w:r w:rsidR="00FC5D52" w:rsidRPr="00ED1BAA">
              <w:rPr>
                <w:rFonts w:cstheme="minorHAnsi"/>
                <w:sz w:val="20"/>
                <w:szCs w:val="20"/>
              </w:rPr>
              <w:t xml:space="preserve">The CM then sets a task for 6 months out to follow up and assess for any needs. </w:t>
            </w:r>
            <w:r w:rsidRPr="00ED1BAA">
              <w:rPr>
                <w:rFonts w:cstheme="minorHAnsi"/>
                <w:sz w:val="20"/>
                <w:szCs w:val="20"/>
              </w:rPr>
              <w:t xml:space="preserve"> </w:t>
            </w:r>
          </w:p>
        </w:tc>
      </w:tr>
      <w:tr w:rsidR="00AB2E00" w:rsidRPr="00ED1BAA" w14:paraId="18F231A7" w14:textId="77777777" w:rsidTr="00D57D0D">
        <w:tc>
          <w:tcPr>
            <w:tcW w:w="1705" w:type="dxa"/>
          </w:tcPr>
          <w:p w14:paraId="672A9182" w14:textId="77777777" w:rsidR="00AB2E00" w:rsidRPr="00ED1BAA" w:rsidRDefault="0039194A">
            <w:pPr>
              <w:rPr>
                <w:rFonts w:cstheme="minorHAnsi"/>
                <w:sz w:val="20"/>
                <w:szCs w:val="20"/>
              </w:rPr>
            </w:pPr>
            <w:r w:rsidRPr="00ED1BAA">
              <w:rPr>
                <w:rFonts w:cstheme="minorHAnsi"/>
                <w:sz w:val="20"/>
                <w:szCs w:val="20"/>
              </w:rPr>
              <w:t xml:space="preserve">Interpreter and </w:t>
            </w:r>
            <w:r w:rsidR="005077E5" w:rsidRPr="00ED1BAA">
              <w:rPr>
                <w:rFonts w:cstheme="minorHAnsi"/>
                <w:sz w:val="20"/>
                <w:szCs w:val="20"/>
              </w:rPr>
              <w:t>Translation Services</w:t>
            </w:r>
          </w:p>
        </w:tc>
        <w:tc>
          <w:tcPr>
            <w:tcW w:w="3330" w:type="dxa"/>
          </w:tcPr>
          <w:p w14:paraId="671D0A02" w14:textId="77777777" w:rsidR="00AB2E00" w:rsidRPr="00ED1BAA" w:rsidRDefault="0039194A" w:rsidP="0039194A">
            <w:pPr>
              <w:rPr>
                <w:rFonts w:cstheme="minorHAnsi"/>
                <w:sz w:val="20"/>
                <w:szCs w:val="20"/>
              </w:rPr>
            </w:pPr>
            <w:r w:rsidRPr="00ED1BAA">
              <w:rPr>
                <w:rFonts w:cstheme="minorHAnsi"/>
                <w:sz w:val="20"/>
                <w:szCs w:val="20"/>
              </w:rPr>
              <w:t>Language assistance services, including but not limited to interpreter and translation services, are available free of charge.</w:t>
            </w:r>
          </w:p>
        </w:tc>
        <w:tc>
          <w:tcPr>
            <w:tcW w:w="3330" w:type="dxa"/>
          </w:tcPr>
          <w:p w14:paraId="6015CA23" w14:textId="77777777" w:rsidR="00AB2E00" w:rsidRPr="00ED1BAA" w:rsidRDefault="0039194A" w:rsidP="0039194A">
            <w:pPr>
              <w:pStyle w:val="ListParagraph"/>
              <w:numPr>
                <w:ilvl w:val="0"/>
                <w:numId w:val="7"/>
              </w:numPr>
              <w:ind w:left="216" w:hanging="216"/>
              <w:rPr>
                <w:rFonts w:cstheme="minorHAnsi"/>
                <w:sz w:val="20"/>
                <w:szCs w:val="20"/>
              </w:rPr>
            </w:pPr>
            <w:r w:rsidRPr="00ED1BAA">
              <w:rPr>
                <w:rFonts w:cstheme="minorHAnsi"/>
                <w:sz w:val="20"/>
                <w:szCs w:val="20"/>
              </w:rPr>
              <w:t>Process for providers, service coordinators, and/or families to access interpreter/translation services</w:t>
            </w:r>
          </w:p>
          <w:p w14:paraId="3EF891A2" w14:textId="77777777" w:rsidR="0039194A" w:rsidRPr="00ED1BAA" w:rsidRDefault="0039194A" w:rsidP="0039194A">
            <w:pPr>
              <w:pStyle w:val="ListParagraph"/>
              <w:numPr>
                <w:ilvl w:val="0"/>
                <w:numId w:val="7"/>
              </w:numPr>
              <w:ind w:left="216" w:hanging="216"/>
              <w:rPr>
                <w:rFonts w:cstheme="minorHAnsi"/>
                <w:sz w:val="20"/>
                <w:szCs w:val="20"/>
              </w:rPr>
            </w:pPr>
            <w:r w:rsidRPr="00ED1BAA">
              <w:rPr>
                <w:rFonts w:cstheme="minorHAnsi"/>
                <w:sz w:val="20"/>
                <w:szCs w:val="20"/>
              </w:rPr>
              <w:t>Timeframe for accessing interpreter/translation services</w:t>
            </w:r>
          </w:p>
        </w:tc>
        <w:tc>
          <w:tcPr>
            <w:tcW w:w="10530" w:type="dxa"/>
          </w:tcPr>
          <w:p w14:paraId="60F7C36C" w14:textId="77777777" w:rsidR="00AB2E00" w:rsidRPr="00ED1BAA" w:rsidRDefault="004466C6" w:rsidP="00EF1FB4">
            <w:pPr>
              <w:rPr>
                <w:rFonts w:cstheme="minorHAnsi"/>
                <w:sz w:val="20"/>
                <w:szCs w:val="20"/>
              </w:rPr>
            </w:pPr>
            <w:r w:rsidRPr="00ED1BAA">
              <w:rPr>
                <w:rFonts w:cstheme="minorHAnsi"/>
                <w:sz w:val="20"/>
                <w:szCs w:val="20"/>
              </w:rPr>
              <w:t xml:space="preserve">Service coordinators coordinate interpreter services through member services and it requires 3 </w:t>
            </w:r>
            <w:proofErr w:type="spellStart"/>
            <w:r w:rsidRPr="00ED1BAA">
              <w:rPr>
                <w:rFonts w:cstheme="minorHAnsi"/>
                <w:sz w:val="20"/>
                <w:szCs w:val="20"/>
              </w:rPr>
              <w:t>days notice</w:t>
            </w:r>
            <w:proofErr w:type="spellEnd"/>
            <w:r w:rsidRPr="00ED1BAA">
              <w:rPr>
                <w:rFonts w:cstheme="minorHAnsi"/>
                <w:sz w:val="20"/>
                <w:szCs w:val="20"/>
              </w:rPr>
              <w:t>. If there are challenges in getting this set up, the CC can assist with issues.</w:t>
            </w:r>
            <w:r w:rsidR="00840F4A" w:rsidRPr="00ED1BAA">
              <w:rPr>
                <w:rFonts w:cstheme="minorHAnsi"/>
                <w:sz w:val="20"/>
                <w:szCs w:val="20"/>
              </w:rPr>
              <w:t xml:space="preserve"> </w:t>
            </w:r>
          </w:p>
          <w:p w14:paraId="1C1102B1" w14:textId="77777777" w:rsidR="008C0194" w:rsidRPr="00ED1BAA" w:rsidRDefault="008C0194" w:rsidP="00EF1FB4">
            <w:pPr>
              <w:rPr>
                <w:rFonts w:cstheme="minorHAnsi"/>
                <w:sz w:val="20"/>
                <w:szCs w:val="20"/>
              </w:rPr>
            </w:pPr>
          </w:p>
          <w:p w14:paraId="53A10ED3" w14:textId="77777777" w:rsidR="008C0194" w:rsidRPr="00ED1BAA" w:rsidRDefault="008C0194" w:rsidP="008C0194">
            <w:pPr>
              <w:rPr>
                <w:rFonts w:cstheme="minorHAnsi"/>
                <w:bCs/>
                <w:sz w:val="19"/>
                <w:szCs w:val="19"/>
                <w:u w:val="single"/>
              </w:rPr>
            </w:pPr>
            <w:r w:rsidRPr="00ED1BAA">
              <w:rPr>
                <w:rFonts w:cstheme="minorHAnsi"/>
                <w:sz w:val="19"/>
                <w:szCs w:val="19"/>
                <w:u w:val="single"/>
              </w:rPr>
              <w:t>Interpreter Services</w:t>
            </w:r>
          </w:p>
          <w:p w14:paraId="5E2F7B30" w14:textId="771BD658" w:rsidR="00E20C14" w:rsidRPr="00ED1BAA" w:rsidRDefault="008C0194" w:rsidP="008C0194">
            <w:pPr>
              <w:rPr>
                <w:rFonts w:cstheme="minorHAnsi"/>
                <w:bCs/>
                <w:sz w:val="19"/>
                <w:szCs w:val="19"/>
              </w:rPr>
            </w:pPr>
            <w:r w:rsidRPr="00ED1BAA">
              <w:rPr>
                <w:rFonts w:cstheme="minorHAnsi"/>
                <w:bCs/>
                <w:sz w:val="19"/>
                <w:szCs w:val="19"/>
              </w:rPr>
              <w:t xml:space="preserve">Call </w:t>
            </w:r>
            <w:r w:rsidR="00E20C14" w:rsidRPr="00ED1BAA">
              <w:rPr>
                <w:rFonts w:cstheme="minorHAnsi"/>
                <w:bCs/>
                <w:sz w:val="19"/>
                <w:szCs w:val="19"/>
              </w:rPr>
              <w:t xml:space="preserve">Medallion 4.0 : </w:t>
            </w:r>
            <w:r w:rsidRPr="00ED1BAA">
              <w:rPr>
                <w:rFonts w:cstheme="minorHAnsi"/>
                <w:bCs/>
                <w:sz w:val="19"/>
                <w:szCs w:val="19"/>
              </w:rPr>
              <w:t>1.800.279.1878</w:t>
            </w:r>
          </w:p>
          <w:p w14:paraId="64C29C47" w14:textId="138154DF" w:rsidR="008C0194" w:rsidRPr="00ED1BAA" w:rsidRDefault="00E20C14" w:rsidP="008C0194">
            <w:pPr>
              <w:rPr>
                <w:rFonts w:cstheme="minorHAnsi"/>
                <w:sz w:val="20"/>
                <w:szCs w:val="20"/>
              </w:rPr>
            </w:pPr>
            <w:r w:rsidRPr="00ED1BAA">
              <w:rPr>
                <w:rFonts w:cstheme="minorHAnsi"/>
                <w:bCs/>
                <w:sz w:val="19"/>
                <w:szCs w:val="19"/>
              </w:rPr>
              <w:t xml:space="preserve">Call CCC+:  </w:t>
            </w:r>
            <w:r w:rsidR="008C0194" w:rsidRPr="00ED1BAA">
              <w:rPr>
                <w:rFonts w:cstheme="minorHAnsi"/>
                <w:bCs/>
                <w:sz w:val="19"/>
                <w:szCs w:val="19"/>
              </w:rPr>
              <w:t>866-261-0581</w:t>
            </w:r>
          </w:p>
        </w:tc>
      </w:tr>
      <w:tr w:rsidR="00AB2E00" w:rsidRPr="00ED1BAA" w14:paraId="08230999" w14:textId="77777777" w:rsidTr="00D57D0D">
        <w:tc>
          <w:tcPr>
            <w:tcW w:w="1705" w:type="dxa"/>
          </w:tcPr>
          <w:p w14:paraId="1E678FB0" w14:textId="77777777" w:rsidR="00AB2E00" w:rsidRPr="00ED1BAA" w:rsidRDefault="0039194A">
            <w:pPr>
              <w:rPr>
                <w:rFonts w:cstheme="minorHAnsi"/>
                <w:sz w:val="20"/>
                <w:szCs w:val="20"/>
              </w:rPr>
            </w:pPr>
            <w:r w:rsidRPr="00ED1BAA">
              <w:rPr>
                <w:rFonts w:cstheme="minorHAnsi"/>
                <w:sz w:val="20"/>
                <w:szCs w:val="20"/>
              </w:rPr>
              <w:t>EI Specific Email Box</w:t>
            </w:r>
          </w:p>
        </w:tc>
        <w:tc>
          <w:tcPr>
            <w:tcW w:w="3330" w:type="dxa"/>
          </w:tcPr>
          <w:p w14:paraId="06001960" w14:textId="77777777" w:rsidR="00AB2E00" w:rsidRPr="00ED1BAA" w:rsidRDefault="0039194A">
            <w:pPr>
              <w:rPr>
                <w:rFonts w:cstheme="minorHAnsi"/>
                <w:sz w:val="20"/>
                <w:szCs w:val="20"/>
              </w:rPr>
            </w:pPr>
            <w:r w:rsidRPr="00ED1BAA">
              <w:rPr>
                <w:rFonts w:cstheme="minorHAnsi"/>
                <w:sz w:val="20"/>
                <w:szCs w:val="20"/>
              </w:rPr>
              <w:t>Specific email contacts for submission of IFSPs, Decline to Bill Forms, etc.</w:t>
            </w:r>
          </w:p>
        </w:tc>
        <w:tc>
          <w:tcPr>
            <w:tcW w:w="3330" w:type="dxa"/>
          </w:tcPr>
          <w:p w14:paraId="4CDA2176" w14:textId="77777777" w:rsidR="00AB2E00" w:rsidRPr="00ED1BAA" w:rsidRDefault="0039194A" w:rsidP="0039194A">
            <w:pPr>
              <w:pStyle w:val="ListParagraph"/>
              <w:numPr>
                <w:ilvl w:val="0"/>
                <w:numId w:val="8"/>
              </w:numPr>
              <w:ind w:left="216" w:hanging="216"/>
              <w:rPr>
                <w:rFonts w:cstheme="minorHAnsi"/>
                <w:sz w:val="20"/>
                <w:szCs w:val="20"/>
              </w:rPr>
            </w:pPr>
            <w:r w:rsidRPr="00ED1BAA">
              <w:rPr>
                <w:rFonts w:cstheme="minorHAnsi"/>
                <w:sz w:val="20"/>
                <w:szCs w:val="20"/>
              </w:rPr>
              <w:t>List specific email address</w:t>
            </w:r>
          </w:p>
        </w:tc>
        <w:tc>
          <w:tcPr>
            <w:tcW w:w="10530" w:type="dxa"/>
          </w:tcPr>
          <w:p w14:paraId="67427E70" w14:textId="77777777" w:rsidR="00AB2E00" w:rsidRPr="00ED1BAA" w:rsidRDefault="00000000">
            <w:pPr>
              <w:rPr>
                <w:rFonts w:cstheme="minorHAnsi"/>
                <w:sz w:val="20"/>
                <w:szCs w:val="20"/>
              </w:rPr>
            </w:pPr>
            <w:hyperlink r:id="rId10" w:history="1">
              <w:r w:rsidR="004466C6" w:rsidRPr="00ED1BAA">
                <w:rPr>
                  <w:rStyle w:val="Hyperlink"/>
                  <w:rFonts w:cstheme="minorHAnsi"/>
                  <w:sz w:val="20"/>
                  <w:szCs w:val="20"/>
                </w:rPr>
                <w:t>Earlyinterventionservices@aetna.com</w:t>
              </w:r>
            </w:hyperlink>
            <w:r w:rsidR="004466C6" w:rsidRPr="00ED1BAA">
              <w:rPr>
                <w:rFonts w:cstheme="minorHAnsi"/>
                <w:sz w:val="20"/>
                <w:szCs w:val="20"/>
              </w:rPr>
              <w:t xml:space="preserve"> for IFSP </w:t>
            </w:r>
            <w:r w:rsidR="00FF1A7B" w:rsidRPr="00ED1BAA">
              <w:rPr>
                <w:rFonts w:cstheme="minorHAnsi"/>
                <w:sz w:val="20"/>
                <w:szCs w:val="20"/>
              </w:rPr>
              <w:t>This email address is for IFSP’s, but if decline to bill forms come through, they will be forwarded. Decline to bill should come with claims. They do have a separate email</w:t>
            </w:r>
            <w:r w:rsidR="00FF1A7B" w:rsidRPr="00ED1BAA">
              <w:rPr>
                <w:rFonts w:cstheme="minorHAnsi"/>
                <w:b/>
                <w:sz w:val="20"/>
                <w:szCs w:val="20"/>
              </w:rPr>
              <w:t xml:space="preserve"> </w:t>
            </w:r>
            <w:r w:rsidR="00FF1A7B" w:rsidRPr="00ED1BAA">
              <w:rPr>
                <w:rFonts w:cstheme="minorHAnsi"/>
                <w:color w:val="000000"/>
                <w:sz w:val="20"/>
                <w:szCs w:val="20"/>
              </w:rPr>
              <w:t>VAEIDeclinetoBillForm@AETNA.com</w:t>
            </w:r>
          </w:p>
          <w:p w14:paraId="7CF96EF8" w14:textId="77777777" w:rsidR="004466C6" w:rsidRPr="00ED1BAA" w:rsidRDefault="004466C6">
            <w:pPr>
              <w:rPr>
                <w:rFonts w:cstheme="minorHAnsi"/>
                <w:sz w:val="20"/>
                <w:szCs w:val="20"/>
              </w:rPr>
            </w:pPr>
          </w:p>
        </w:tc>
      </w:tr>
    </w:tbl>
    <w:p w14:paraId="4333DC78" w14:textId="791C4B1D" w:rsidR="006D7F6E" w:rsidRDefault="006D7F6E">
      <w:pPr>
        <w:rPr>
          <w:rFonts w:cstheme="minorHAnsi"/>
        </w:rPr>
      </w:pPr>
    </w:p>
    <w:p w14:paraId="4D7A8C6C" w14:textId="7169F2DC" w:rsidR="00A10F14" w:rsidRDefault="00A10F14">
      <w:pPr>
        <w:rPr>
          <w:rFonts w:cstheme="minorHAnsi"/>
        </w:rPr>
      </w:pPr>
    </w:p>
    <w:p w14:paraId="0896C3C8" w14:textId="1AE18BD4" w:rsidR="00A10F14" w:rsidRDefault="00A10F14">
      <w:pPr>
        <w:rPr>
          <w:rFonts w:cstheme="minorHAnsi"/>
        </w:rPr>
      </w:pPr>
    </w:p>
    <w:p w14:paraId="59BDF205" w14:textId="66FA97E2" w:rsidR="00A10F14" w:rsidRDefault="00A10F14">
      <w:pPr>
        <w:rPr>
          <w:rFonts w:cstheme="minorHAnsi"/>
        </w:rPr>
      </w:pPr>
    </w:p>
    <w:p w14:paraId="36A1B2C9" w14:textId="7454A242" w:rsidR="00A10F14" w:rsidRDefault="00A10F14">
      <w:pPr>
        <w:rPr>
          <w:rFonts w:cstheme="minorHAnsi"/>
        </w:rPr>
      </w:pPr>
    </w:p>
    <w:p w14:paraId="6DE1A4A0" w14:textId="047588A3" w:rsidR="00A10F14" w:rsidRDefault="00A10F14">
      <w:pPr>
        <w:rPr>
          <w:rFonts w:cstheme="minorHAnsi"/>
        </w:rPr>
      </w:pPr>
    </w:p>
    <w:p w14:paraId="2C078818" w14:textId="37FCC102" w:rsidR="00A10F14" w:rsidRDefault="00A10F14">
      <w:pPr>
        <w:rPr>
          <w:rFonts w:cstheme="minorHAnsi"/>
        </w:rPr>
      </w:pPr>
    </w:p>
    <w:p w14:paraId="76853DB8" w14:textId="709DAD6F" w:rsidR="00A10F14" w:rsidRDefault="00A10F14">
      <w:pPr>
        <w:rPr>
          <w:rFonts w:cstheme="minorHAnsi"/>
        </w:rPr>
      </w:pPr>
    </w:p>
    <w:p w14:paraId="1D519F74" w14:textId="0BE42B75" w:rsidR="00A10F14" w:rsidRDefault="00A10F14">
      <w:pPr>
        <w:rPr>
          <w:rFonts w:cstheme="minorHAnsi"/>
        </w:rPr>
      </w:pPr>
    </w:p>
    <w:p w14:paraId="2D1B5EFB" w14:textId="77777777" w:rsidR="00A10F14" w:rsidRPr="00A10F14" w:rsidRDefault="00A10F14" w:rsidP="00A10F14">
      <w:r w:rsidRPr="00A10F14">
        <w:rPr>
          <w:rFonts w:ascii="Candara" w:hAnsi="Candara" w:cs="Arial"/>
          <w:b/>
          <w:noProof/>
          <w:sz w:val="36"/>
          <w:szCs w:val="36"/>
        </w:rPr>
        <w:lastRenderedPageBreak/>
        <w:drawing>
          <wp:inline distT="0" distB="0" distL="0" distR="0" wp14:anchorId="0035F86E" wp14:editId="318852C1">
            <wp:extent cx="1371600" cy="530352"/>
            <wp:effectExtent l="0" t="0" r="0" b="31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nthem Logo.jp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371600" cy="530352"/>
                    </a:xfrm>
                    <a:prstGeom prst="rect">
                      <a:avLst/>
                    </a:prstGeom>
                  </pic:spPr>
                </pic:pic>
              </a:graphicData>
            </a:graphic>
          </wp:inline>
        </w:drawing>
      </w:r>
    </w:p>
    <w:tbl>
      <w:tblPr>
        <w:tblStyle w:val="TableGrid"/>
        <w:tblW w:w="18895" w:type="dxa"/>
        <w:tblLook w:val="04A0" w:firstRow="1" w:lastRow="0" w:firstColumn="1" w:lastColumn="0" w:noHBand="0" w:noVBand="1"/>
      </w:tblPr>
      <w:tblGrid>
        <w:gridCol w:w="1705"/>
        <w:gridCol w:w="3690"/>
        <w:gridCol w:w="2970"/>
        <w:gridCol w:w="10530"/>
      </w:tblGrid>
      <w:tr w:rsidR="00A10F14" w:rsidRPr="00A10F14" w14:paraId="1C3E32B9" w14:textId="77777777" w:rsidTr="00EF15B9">
        <w:trPr>
          <w:tblHeader/>
        </w:trPr>
        <w:tc>
          <w:tcPr>
            <w:tcW w:w="1705" w:type="dxa"/>
            <w:shd w:val="clear" w:color="auto" w:fill="0099CC"/>
          </w:tcPr>
          <w:p w14:paraId="0E17881F" w14:textId="77777777" w:rsidR="00A10F14" w:rsidRPr="00A10F14" w:rsidRDefault="00A10F14" w:rsidP="00A10F14">
            <w:pPr>
              <w:jc w:val="center"/>
              <w:rPr>
                <w:rFonts w:ascii="Candara" w:hAnsi="Candara"/>
                <w:b/>
                <w:sz w:val="20"/>
                <w:szCs w:val="20"/>
              </w:rPr>
            </w:pPr>
            <w:r w:rsidRPr="00A10F14">
              <w:rPr>
                <w:rFonts w:ascii="Candara" w:hAnsi="Candara"/>
                <w:b/>
                <w:sz w:val="20"/>
                <w:szCs w:val="20"/>
              </w:rPr>
              <w:t>TOPIC</w:t>
            </w:r>
          </w:p>
        </w:tc>
        <w:tc>
          <w:tcPr>
            <w:tcW w:w="3690" w:type="dxa"/>
            <w:shd w:val="clear" w:color="auto" w:fill="0099CC"/>
          </w:tcPr>
          <w:p w14:paraId="37CDC4EF" w14:textId="77777777" w:rsidR="00A10F14" w:rsidRPr="00A10F14" w:rsidRDefault="00A10F14" w:rsidP="00A10F14">
            <w:pPr>
              <w:jc w:val="center"/>
              <w:rPr>
                <w:rFonts w:ascii="Candara" w:hAnsi="Candara"/>
                <w:b/>
                <w:sz w:val="20"/>
                <w:szCs w:val="20"/>
              </w:rPr>
            </w:pPr>
            <w:r w:rsidRPr="00A10F14">
              <w:rPr>
                <w:rFonts w:ascii="Candara" w:hAnsi="Candara"/>
                <w:b/>
                <w:sz w:val="20"/>
                <w:szCs w:val="20"/>
              </w:rPr>
              <w:t>DESCRIPTION</w:t>
            </w:r>
          </w:p>
        </w:tc>
        <w:tc>
          <w:tcPr>
            <w:tcW w:w="2970" w:type="dxa"/>
            <w:shd w:val="clear" w:color="auto" w:fill="0099CC"/>
          </w:tcPr>
          <w:p w14:paraId="6C08DD16" w14:textId="77777777" w:rsidR="00A10F14" w:rsidRPr="00A10F14" w:rsidRDefault="00A10F14" w:rsidP="00A10F14">
            <w:pPr>
              <w:jc w:val="center"/>
              <w:rPr>
                <w:rFonts w:ascii="Candara" w:hAnsi="Candara"/>
                <w:b/>
                <w:sz w:val="20"/>
                <w:szCs w:val="20"/>
              </w:rPr>
            </w:pPr>
            <w:r w:rsidRPr="00A10F14">
              <w:rPr>
                <w:rFonts w:ascii="Candara" w:hAnsi="Candara"/>
                <w:b/>
                <w:sz w:val="20"/>
                <w:szCs w:val="20"/>
              </w:rPr>
              <w:t>MCO PROCESS</w:t>
            </w:r>
          </w:p>
        </w:tc>
        <w:tc>
          <w:tcPr>
            <w:tcW w:w="10530" w:type="dxa"/>
            <w:shd w:val="clear" w:color="auto" w:fill="0099CC"/>
          </w:tcPr>
          <w:p w14:paraId="2B169426" w14:textId="77777777" w:rsidR="00A10F14" w:rsidRPr="00A10F14" w:rsidRDefault="00A10F14" w:rsidP="00A10F14">
            <w:pPr>
              <w:jc w:val="center"/>
              <w:rPr>
                <w:rFonts w:ascii="Candara" w:hAnsi="Candara"/>
                <w:b/>
                <w:sz w:val="20"/>
                <w:szCs w:val="20"/>
              </w:rPr>
            </w:pPr>
            <w:r w:rsidRPr="00A10F14">
              <w:rPr>
                <w:rFonts w:ascii="Candara" w:hAnsi="Candara"/>
                <w:b/>
                <w:sz w:val="20"/>
                <w:szCs w:val="20"/>
              </w:rPr>
              <w:t>MCO RESPONSE</w:t>
            </w:r>
          </w:p>
        </w:tc>
      </w:tr>
      <w:tr w:rsidR="00A10F14" w:rsidRPr="00A10F14" w14:paraId="227DFAF3" w14:textId="77777777" w:rsidTr="00EF15B9">
        <w:trPr>
          <w:tblHeader/>
        </w:trPr>
        <w:tc>
          <w:tcPr>
            <w:tcW w:w="1705" w:type="dxa"/>
            <w:shd w:val="clear" w:color="auto" w:fill="0099CC"/>
          </w:tcPr>
          <w:p w14:paraId="192CB089" w14:textId="77777777" w:rsidR="00A10F14" w:rsidRPr="00A10F14" w:rsidRDefault="00A10F14" w:rsidP="00A10F14">
            <w:pPr>
              <w:jc w:val="center"/>
              <w:rPr>
                <w:rFonts w:ascii="Candara" w:hAnsi="Candara"/>
                <w:b/>
                <w:sz w:val="20"/>
                <w:szCs w:val="20"/>
              </w:rPr>
            </w:pPr>
          </w:p>
        </w:tc>
        <w:tc>
          <w:tcPr>
            <w:tcW w:w="3690" w:type="dxa"/>
            <w:shd w:val="clear" w:color="auto" w:fill="0099CC"/>
          </w:tcPr>
          <w:p w14:paraId="627D3CA0" w14:textId="77777777" w:rsidR="00A10F14" w:rsidRPr="00A10F14" w:rsidRDefault="00A10F14" w:rsidP="00A10F14">
            <w:pPr>
              <w:jc w:val="center"/>
              <w:rPr>
                <w:rFonts w:ascii="Candara" w:hAnsi="Candara"/>
                <w:b/>
                <w:sz w:val="20"/>
                <w:szCs w:val="20"/>
              </w:rPr>
            </w:pPr>
          </w:p>
        </w:tc>
        <w:tc>
          <w:tcPr>
            <w:tcW w:w="2970" w:type="dxa"/>
            <w:shd w:val="clear" w:color="auto" w:fill="0099CC"/>
          </w:tcPr>
          <w:p w14:paraId="798BC38D" w14:textId="77777777" w:rsidR="00A10F14" w:rsidRPr="00A10F14" w:rsidRDefault="00A10F14" w:rsidP="00A10F14">
            <w:pPr>
              <w:jc w:val="center"/>
              <w:rPr>
                <w:rFonts w:ascii="Candara" w:hAnsi="Candara"/>
                <w:b/>
                <w:sz w:val="20"/>
                <w:szCs w:val="20"/>
              </w:rPr>
            </w:pPr>
            <w:r w:rsidRPr="00A10F14">
              <w:rPr>
                <w:rFonts w:ascii="Candara" w:hAnsi="Candara"/>
                <w:b/>
                <w:sz w:val="20"/>
                <w:szCs w:val="20"/>
              </w:rPr>
              <w:t>MCOs shall provide a brief description for each point within the topic area</w:t>
            </w:r>
          </w:p>
        </w:tc>
        <w:tc>
          <w:tcPr>
            <w:tcW w:w="10530" w:type="dxa"/>
            <w:shd w:val="clear" w:color="auto" w:fill="0099CC"/>
          </w:tcPr>
          <w:p w14:paraId="01D9FAFA" w14:textId="77777777" w:rsidR="00A10F14" w:rsidRPr="00A10F14" w:rsidRDefault="00A10F14" w:rsidP="00A10F14">
            <w:pPr>
              <w:jc w:val="center"/>
              <w:rPr>
                <w:rFonts w:ascii="Candara" w:hAnsi="Candara"/>
                <w:b/>
                <w:sz w:val="20"/>
                <w:szCs w:val="20"/>
              </w:rPr>
            </w:pPr>
          </w:p>
        </w:tc>
      </w:tr>
      <w:tr w:rsidR="00A10F14" w:rsidRPr="00A10F14" w14:paraId="329C58BC" w14:textId="77777777" w:rsidTr="00EF15B9">
        <w:tc>
          <w:tcPr>
            <w:tcW w:w="1705" w:type="dxa"/>
          </w:tcPr>
          <w:p w14:paraId="5611039C" w14:textId="77777777" w:rsidR="00A10F14" w:rsidRPr="00A10F14" w:rsidRDefault="00A10F14" w:rsidP="00A10F14">
            <w:pPr>
              <w:rPr>
                <w:rFonts w:cstheme="minorHAnsi"/>
                <w:sz w:val="20"/>
                <w:szCs w:val="20"/>
              </w:rPr>
            </w:pPr>
            <w:r w:rsidRPr="00A10F14">
              <w:rPr>
                <w:rFonts w:cstheme="minorHAnsi"/>
                <w:sz w:val="20"/>
                <w:szCs w:val="20"/>
              </w:rPr>
              <w:t>MCO Credentialing and Contracting</w:t>
            </w:r>
          </w:p>
        </w:tc>
        <w:tc>
          <w:tcPr>
            <w:tcW w:w="3690" w:type="dxa"/>
          </w:tcPr>
          <w:p w14:paraId="65C46584" w14:textId="77777777" w:rsidR="00A10F14" w:rsidRPr="00A10F14" w:rsidRDefault="00A10F14" w:rsidP="00A10F14">
            <w:pPr>
              <w:rPr>
                <w:rFonts w:cstheme="minorHAnsi"/>
                <w:sz w:val="20"/>
                <w:szCs w:val="20"/>
              </w:rPr>
            </w:pPr>
            <w:r w:rsidRPr="00A10F14">
              <w:rPr>
                <w:rFonts w:eastAsia="Times New Roman" w:cstheme="minorHAnsi"/>
                <w:color w:val="000000"/>
                <w:sz w:val="20"/>
                <w:szCs w:val="20"/>
              </w:rPr>
              <w:t xml:space="preserve">All EI providers must be credentialed and contracted by each MCO in order to provide services to members enrolled with the MCO.             </w:t>
            </w:r>
            <w:r w:rsidRPr="00A10F14">
              <w:rPr>
                <w:rFonts w:eastAsia="Times New Roman" w:cstheme="minorHAnsi"/>
                <w:color w:val="000000"/>
                <w:sz w:val="20"/>
                <w:szCs w:val="20"/>
              </w:rPr>
              <w:br/>
            </w:r>
            <w:r w:rsidRPr="00A10F14">
              <w:rPr>
                <w:rFonts w:eastAsia="Times New Roman" w:cstheme="minorHAnsi"/>
                <w:color w:val="000000"/>
                <w:sz w:val="20"/>
                <w:szCs w:val="20"/>
              </w:rPr>
              <w:br/>
              <w:t>All EI providers must be certified by DBHDS and affiliated with a LLA prior to the MCO credentialing and contracting process.</w:t>
            </w:r>
            <w:r w:rsidRPr="00A10F14">
              <w:rPr>
                <w:rFonts w:eastAsia="Times New Roman" w:cstheme="minorHAnsi"/>
                <w:color w:val="000000"/>
                <w:sz w:val="20"/>
                <w:szCs w:val="20"/>
              </w:rPr>
              <w:br/>
            </w:r>
          </w:p>
        </w:tc>
        <w:tc>
          <w:tcPr>
            <w:tcW w:w="2970" w:type="dxa"/>
          </w:tcPr>
          <w:p w14:paraId="3A775DBB"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Credentialing process</w:t>
            </w:r>
          </w:p>
          <w:p w14:paraId="1053B48A"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CAQH process</w:t>
            </w:r>
          </w:p>
          <w:p w14:paraId="7641D14B"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Contracting process</w:t>
            </w:r>
          </w:p>
          <w:p w14:paraId="56072F2B"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Credentialing and contracting educators and other non-traditional disciplines</w:t>
            </w:r>
          </w:p>
          <w:p w14:paraId="6CA96773"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Credentialing and contracting service coordinators</w:t>
            </w:r>
          </w:p>
          <w:p w14:paraId="39F29705"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Handling of out-of-network providers</w:t>
            </w:r>
          </w:p>
          <w:p w14:paraId="2A98788E" w14:textId="77777777" w:rsidR="00A10F14" w:rsidRPr="00A10F14" w:rsidRDefault="00A10F14" w:rsidP="00A10F14">
            <w:pPr>
              <w:rPr>
                <w:rFonts w:cstheme="minorHAnsi"/>
                <w:sz w:val="20"/>
                <w:szCs w:val="20"/>
              </w:rPr>
            </w:pPr>
          </w:p>
          <w:p w14:paraId="36559BFB" w14:textId="77777777" w:rsidR="00A10F14" w:rsidRPr="00A10F14" w:rsidRDefault="00A10F14" w:rsidP="00A10F14">
            <w:pPr>
              <w:rPr>
                <w:rFonts w:cstheme="minorHAnsi"/>
                <w:sz w:val="20"/>
                <w:szCs w:val="20"/>
              </w:rPr>
            </w:pPr>
          </w:p>
          <w:p w14:paraId="0D4DAF19" w14:textId="77777777" w:rsidR="00A10F14" w:rsidRPr="00A10F14" w:rsidRDefault="00A10F14" w:rsidP="00A10F14">
            <w:pPr>
              <w:rPr>
                <w:rFonts w:cstheme="minorHAnsi"/>
                <w:sz w:val="20"/>
                <w:szCs w:val="20"/>
              </w:rPr>
            </w:pPr>
          </w:p>
          <w:p w14:paraId="78430D6C" w14:textId="77777777" w:rsidR="00A10F14" w:rsidRPr="00A10F14" w:rsidRDefault="00A10F14" w:rsidP="00A10F14">
            <w:pPr>
              <w:tabs>
                <w:tab w:val="left" w:pos="1050"/>
              </w:tabs>
              <w:rPr>
                <w:rFonts w:cstheme="minorHAnsi"/>
                <w:sz w:val="20"/>
                <w:szCs w:val="20"/>
              </w:rPr>
            </w:pPr>
            <w:r w:rsidRPr="00A10F14">
              <w:rPr>
                <w:rFonts w:cstheme="minorHAnsi"/>
                <w:sz w:val="20"/>
                <w:szCs w:val="20"/>
              </w:rPr>
              <w:tab/>
            </w:r>
          </w:p>
          <w:p w14:paraId="3F66E30B" w14:textId="77777777" w:rsidR="00A10F14" w:rsidRPr="00A10F14" w:rsidRDefault="00A10F14" w:rsidP="00A10F14">
            <w:pPr>
              <w:tabs>
                <w:tab w:val="left" w:pos="1050"/>
              </w:tabs>
              <w:rPr>
                <w:rFonts w:cstheme="minorHAnsi"/>
                <w:sz w:val="20"/>
                <w:szCs w:val="20"/>
              </w:rPr>
            </w:pPr>
          </w:p>
        </w:tc>
        <w:tc>
          <w:tcPr>
            <w:tcW w:w="10530" w:type="dxa"/>
          </w:tcPr>
          <w:p w14:paraId="3951039D"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 xml:space="preserve">Anthem does not credential EI services in the traditional manner as other network providers. </w:t>
            </w:r>
          </w:p>
          <w:p w14:paraId="740472A0"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Only those individuals certified as Early Intervention Providers can service Anthem members for EI services. Providers must have an NPI number that can be verified through the NPPES registry and be certified through the proper state required process.</w:t>
            </w:r>
          </w:p>
          <w:p w14:paraId="69AE6719" w14:textId="77777777" w:rsidR="00F070AF" w:rsidRPr="00E44E30" w:rsidRDefault="00F070AF" w:rsidP="00F070AF">
            <w:pPr>
              <w:rPr>
                <w:rFonts w:eastAsia="Times New Roman" w:cstheme="minorHAnsi"/>
                <w:color w:val="000000"/>
                <w:sz w:val="20"/>
                <w:szCs w:val="20"/>
              </w:rPr>
            </w:pPr>
          </w:p>
          <w:p w14:paraId="62B61767"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 xml:space="preserve">If a therapist wishes to provide EI services for Anthem members, they will need to contact the agency they are providing services for to ensure they are on that agency’s roster. Rosters from various EI agencies should be submitted to </w:t>
            </w:r>
            <w:proofErr w:type="spellStart"/>
            <w:r w:rsidRPr="00E44E30">
              <w:rPr>
                <w:rFonts w:eastAsia="Times New Roman" w:cstheme="minorHAnsi"/>
                <w:color w:val="000000"/>
                <w:sz w:val="20"/>
                <w:szCs w:val="20"/>
              </w:rPr>
              <w:t>AnthemCCCPlus</w:t>
            </w:r>
            <w:proofErr w:type="spellEnd"/>
            <w:r w:rsidRPr="00E44E30">
              <w:rPr>
                <w:rFonts w:eastAsia="Times New Roman" w:cstheme="minorHAnsi"/>
                <w:color w:val="000000"/>
                <w:sz w:val="20"/>
                <w:szCs w:val="20"/>
              </w:rPr>
              <w:t xml:space="preserve"> mailbox monthly. Anthem also relies on the DMAS roster list to verify EI certification.</w:t>
            </w:r>
          </w:p>
          <w:p w14:paraId="7EACA4C7" w14:textId="77777777" w:rsidR="00F070AF" w:rsidRPr="00E44E30" w:rsidRDefault="00F070AF" w:rsidP="00F070AF">
            <w:pPr>
              <w:rPr>
                <w:rFonts w:eastAsia="Times New Roman" w:cstheme="minorHAnsi"/>
                <w:color w:val="000000"/>
                <w:sz w:val="20"/>
                <w:szCs w:val="20"/>
              </w:rPr>
            </w:pPr>
          </w:p>
          <w:p w14:paraId="403A68BE"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Once Anthem receives that roster from DMAS- individual therapist records are forwarded to Anthems verification department to be set up. Providers working for therapy groups or CSB’s with existing provider records with Anthem share the “credentialing process, contracting and insurance requirements as the established agency. Those disciplines such as educators and other non-traditional disciplines who wish to provide services for Anthem are required to submit verification of malpractice/liability insurance coverage to Anthems Early Intervention Services Support email (</w:t>
            </w:r>
            <w:hyperlink r:id="rId12" w:history="1">
              <w:r w:rsidRPr="00E44E30">
                <w:rPr>
                  <w:rStyle w:val="Hyperlink"/>
                  <w:rFonts w:eastAsia="Times New Roman" w:cstheme="minorHAnsi"/>
                  <w:sz w:val="20"/>
                  <w:szCs w:val="20"/>
                </w:rPr>
                <w:t>EarlyinterventionServicesSupport@anthem.com</w:t>
              </w:r>
            </w:hyperlink>
            <w:r w:rsidRPr="00E44E30">
              <w:rPr>
                <w:rFonts w:eastAsia="Times New Roman" w:cstheme="minorHAnsi"/>
                <w:color w:val="000000"/>
                <w:sz w:val="20"/>
                <w:szCs w:val="20"/>
              </w:rPr>
              <w:t xml:space="preserve">) prior to being activated under an EI agreement in Anthem’s system. </w:t>
            </w:r>
          </w:p>
          <w:p w14:paraId="1BD12402" w14:textId="77777777" w:rsidR="00F070AF" w:rsidRPr="00E44E30" w:rsidRDefault="00F070AF" w:rsidP="00F070AF">
            <w:pPr>
              <w:rPr>
                <w:rFonts w:eastAsia="Times New Roman" w:cstheme="minorHAnsi"/>
                <w:color w:val="000000"/>
                <w:sz w:val="20"/>
                <w:szCs w:val="20"/>
              </w:rPr>
            </w:pPr>
          </w:p>
          <w:p w14:paraId="415F122E"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Upon completion of all required documents, an EI agreement is established,</w:t>
            </w:r>
            <w:r>
              <w:rPr>
                <w:rFonts w:eastAsia="Times New Roman" w:cstheme="minorHAnsi"/>
                <w:color w:val="000000"/>
                <w:sz w:val="20"/>
                <w:szCs w:val="20"/>
              </w:rPr>
              <w:t xml:space="preserve"> and the provider will be contacted and forwarded a provider orientation presentation.</w:t>
            </w:r>
          </w:p>
          <w:p w14:paraId="7749440D" w14:textId="77777777" w:rsidR="00F070AF" w:rsidRPr="00E44E30" w:rsidRDefault="00F070AF" w:rsidP="00F070AF">
            <w:pPr>
              <w:rPr>
                <w:rFonts w:eastAsia="Times New Roman" w:cstheme="minorHAnsi"/>
                <w:color w:val="000000"/>
                <w:sz w:val="20"/>
                <w:szCs w:val="20"/>
              </w:rPr>
            </w:pPr>
          </w:p>
          <w:p w14:paraId="50C4A2A7"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The timeline of the process should take no longer than 30 days.</w:t>
            </w:r>
          </w:p>
          <w:p w14:paraId="22A0CB4B" w14:textId="77777777" w:rsidR="00F070AF" w:rsidRDefault="00F070AF" w:rsidP="00F070AF">
            <w:pPr>
              <w:rPr>
                <w:rFonts w:eastAsia="Times New Roman" w:cstheme="minorHAnsi"/>
                <w:color w:val="000000"/>
                <w:sz w:val="20"/>
                <w:szCs w:val="20"/>
              </w:rPr>
            </w:pPr>
          </w:p>
          <w:p w14:paraId="0DA3C1EF"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 xml:space="preserve">The following information is required to establish an EI provider record in Anthems system. A large portion of this information can </w:t>
            </w:r>
            <w:r>
              <w:rPr>
                <w:rFonts w:eastAsia="Times New Roman" w:cstheme="minorHAnsi"/>
                <w:color w:val="000000"/>
                <w:sz w:val="20"/>
                <w:szCs w:val="20"/>
              </w:rPr>
              <w:t xml:space="preserve">be </w:t>
            </w:r>
            <w:r w:rsidRPr="00E44E30">
              <w:rPr>
                <w:rFonts w:eastAsia="Times New Roman" w:cstheme="minorHAnsi"/>
                <w:color w:val="000000"/>
                <w:sz w:val="20"/>
                <w:szCs w:val="20"/>
              </w:rPr>
              <w:t>found on the DMAS certification roster.</w:t>
            </w:r>
          </w:p>
          <w:p w14:paraId="5E539E73"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Practitioners Name</w:t>
            </w:r>
          </w:p>
          <w:p w14:paraId="48F29D8F"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Primary address</w:t>
            </w:r>
          </w:p>
          <w:p w14:paraId="1E93537D"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Gender</w:t>
            </w:r>
          </w:p>
          <w:p w14:paraId="14F6A267"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Date of Birth</w:t>
            </w:r>
            <w:r w:rsidRPr="00E44E30">
              <w:rPr>
                <w:rFonts w:eastAsia="Times New Roman" w:cstheme="minorHAnsi"/>
                <w:color w:val="000000"/>
                <w:sz w:val="20"/>
                <w:szCs w:val="20"/>
              </w:rPr>
              <w:tab/>
            </w:r>
          </w:p>
          <w:p w14:paraId="54C1018A"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 xml:space="preserve">Provider's NPI </w:t>
            </w:r>
            <w:r w:rsidRPr="00E44E30">
              <w:rPr>
                <w:rFonts w:eastAsia="Times New Roman" w:cstheme="minorHAnsi"/>
                <w:color w:val="000000"/>
                <w:sz w:val="20"/>
                <w:szCs w:val="20"/>
              </w:rPr>
              <w:tab/>
            </w:r>
          </w:p>
          <w:p w14:paraId="0B64E6D9"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Tax ID # and name of Billing Agency or Individual</w:t>
            </w:r>
            <w:r w:rsidRPr="00E44E30">
              <w:rPr>
                <w:rFonts w:eastAsia="Times New Roman" w:cstheme="minorHAnsi"/>
                <w:color w:val="000000"/>
                <w:sz w:val="20"/>
                <w:szCs w:val="20"/>
              </w:rPr>
              <w:tab/>
            </w:r>
          </w:p>
          <w:p w14:paraId="38F8D2E5"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NPI of Billing Entity</w:t>
            </w:r>
          </w:p>
          <w:p w14:paraId="3CBF80A5"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ab/>
            </w:r>
          </w:p>
          <w:p w14:paraId="19B71189" w14:textId="77777777" w:rsidR="00F070AF" w:rsidRDefault="00F070AF" w:rsidP="00F070AF">
            <w:pPr>
              <w:rPr>
                <w:rFonts w:eastAsia="Times New Roman" w:cstheme="minorHAnsi"/>
                <w:color w:val="000000"/>
                <w:sz w:val="20"/>
                <w:szCs w:val="20"/>
              </w:rPr>
            </w:pPr>
            <w:r w:rsidRPr="00E44E30">
              <w:rPr>
                <w:rFonts w:eastAsia="Times New Roman" w:cstheme="minorHAnsi"/>
                <w:color w:val="000000"/>
                <w:sz w:val="20"/>
                <w:szCs w:val="20"/>
              </w:rPr>
              <w:t>Anthem will reach out to the individual therapist, should additional information be needed.</w:t>
            </w:r>
          </w:p>
          <w:p w14:paraId="26EF4FB6"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lastRenderedPageBreak/>
              <w:t xml:space="preserve">Credentialing and contracting educators and other non-traditional disciplines are handled in a similar manner to individual therapist. An OON record is established once all validation criteria is obtained and found to be accurate. </w:t>
            </w:r>
          </w:p>
          <w:p w14:paraId="18838D22" w14:textId="77777777" w:rsidR="00F070AF" w:rsidRPr="00E44E30" w:rsidRDefault="00F070AF" w:rsidP="00F070AF">
            <w:pPr>
              <w:rPr>
                <w:rFonts w:eastAsia="Times New Roman" w:cstheme="minorHAnsi"/>
                <w:color w:val="000000"/>
                <w:sz w:val="20"/>
                <w:szCs w:val="20"/>
              </w:rPr>
            </w:pPr>
            <w:r w:rsidRPr="00E44E30">
              <w:rPr>
                <w:rFonts w:eastAsia="Times New Roman" w:cstheme="minorHAnsi"/>
                <w:color w:val="000000"/>
                <w:sz w:val="20"/>
                <w:szCs w:val="20"/>
              </w:rPr>
              <w:t xml:space="preserve">Contact information </w:t>
            </w:r>
          </w:p>
          <w:p w14:paraId="09CA19A9" w14:textId="77777777" w:rsidR="00F070AF" w:rsidRPr="00E44E30" w:rsidRDefault="00000000" w:rsidP="00F070AF">
            <w:pPr>
              <w:rPr>
                <w:rFonts w:cstheme="minorHAnsi"/>
                <w:sz w:val="20"/>
                <w:szCs w:val="20"/>
              </w:rPr>
            </w:pPr>
            <w:hyperlink r:id="rId13" w:history="1">
              <w:r w:rsidR="00F070AF" w:rsidRPr="00E44E30">
                <w:rPr>
                  <w:rStyle w:val="Hyperlink"/>
                  <w:rFonts w:cstheme="minorHAnsi"/>
                  <w:sz w:val="20"/>
                  <w:szCs w:val="20"/>
                </w:rPr>
                <w:t>EarlyInterventionServicesSupport@anthem.com</w:t>
              </w:r>
            </w:hyperlink>
            <w:r w:rsidR="00F070AF" w:rsidRPr="00E44E30">
              <w:rPr>
                <w:rFonts w:cstheme="minorHAnsi"/>
                <w:sz w:val="20"/>
                <w:szCs w:val="20"/>
              </w:rPr>
              <w:t>.</w:t>
            </w:r>
          </w:p>
          <w:p w14:paraId="2849813A" w14:textId="294726BD" w:rsidR="00F070AF" w:rsidRPr="00E44E30" w:rsidRDefault="00000000" w:rsidP="00F070AF">
            <w:pPr>
              <w:rPr>
                <w:rFonts w:eastAsia="Times New Roman" w:cstheme="minorHAnsi"/>
                <w:color w:val="000000"/>
                <w:sz w:val="20"/>
                <w:szCs w:val="20"/>
              </w:rPr>
            </w:pPr>
            <w:hyperlink r:id="rId14" w:history="1">
              <w:r w:rsidR="00F070AF" w:rsidRPr="00E44E30">
                <w:rPr>
                  <w:rStyle w:val="Hyperlink"/>
                  <w:rFonts w:cstheme="minorHAnsi"/>
                  <w:sz w:val="20"/>
                  <w:szCs w:val="20"/>
                </w:rPr>
                <w:t>bernard.christmas@anthem.com</w:t>
              </w:r>
            </w:hyperlink>
          </w:p>
          <w:p w14:paraId="794A4DEC" w14:textId="13B59CE7" w:rsidR="00A10F14" w:rsidRPr="00A10F14" w:rsidRDefault="00A10F14" w:rsidP="00A10F14">
            <w:pPr>
              <w:rPr>
                <w:rFonts w:eastAsia="Times New Roman" w:cstheme="minorHAnsi"/>
                <w:color w:val="000000"/>
                <w:sz w:val="20"/>
                <w:szCs w:val="20"/>
              </w:rPr>
            </w:pPr>
          </w:p>
        </w:tc>
      </w:tr>
      <w:tr w:rsidR="00A10F14" w:rsidRPr="00A10F14" w14:paraId="5F47CE50" w14:textId="77777777" w:rsidTr="00EF15B9">
        <w:tc>
          <w:tcPr>
            <w:tcW w:w="1705" w:type="dxa"/>
          </w:tcPr>
          <w:p w14:paraId="330503D5" w14:textId="77777777" w:rsidR="00A10F14" w:rsidRPr="00A10F14" w:rsidRDefault="00A10F14" w:rsidP="00A10F14">
            <w:pPr>
              <w:rPr>
                <w:rFonts w:cstheme="minorHAnsi"/>
                <w:sz w:val="20"/>
                <w:szCs w:val="20"/>
              </w:rPr>
            </w:pPr>
            <w:r w:rsidRPr="00A10F14">
              <w:rPr>
                <w:rFonts w:cstheme="minorHAnsi"/>
                <w:sz w:val="20"/>
                <w:szCs w:val="20"/>
              </w:rPr>
              <w:lastRenderedPageBreak/>
              <w:t>Malpractice Insurance for Educators</w:t>
            </w:r>
          </w:p>
        </w:tc>
        <w:tc>
          <w:tcPr>
            <w:tcW w:w="3690" w:type="dxa"/>
          </w:tcPr>
          <w:p w14:paraId="6270CC8E" w14:textId="77777777" w:rsidR="00A10F14" w:rsidRPr="00A10F14" w:rsidRDefault="00A10F14" w:rsidP="00A10F14">
            <w:pPr>
              <w:rPr>
                <w:rFonts w:cstheme="minorHAnsi"/>
                <w:sz w:val="20"/>
                <w:szCs w:val="20"/>
              </w:rPr>
            </w:pPr>
            <w:r w:rsidRPr="00A10F14">
              <w:rPr>
                <w:rFonts w:cstheme="minorHAnsi"/>
                <w:sz w:val="20"/>
                <w:szCs w:val="20"/>
              </w:rPr>
              <w:t>Providers must have malpractice insurance if they are not covered by the local system.</w:t>
            </w:r>
          </w:p>
        </w:tc>
        <w:tc>
          <w:tcPr>
            <w:tcW w:w="2970" w:type="dxa"/>
          </w:tcPr>
          <w:p w14:paraId="1C645D0C" w14:textId="77777777" w:rsidR="00A10F14" w:rsidRPr="00A10F14" w:rsidRDefault="00A10F14" w:rsidP="00A10F14">
            <w:pPr>
              <w:numPr>
                <w:ilvl w:val="0"/>
                <w:numId w:val="3"/>
              </w:numPr>
              <w:ind w:left="216" w:hanging="216"/>
              <w:contextualSpacing/>
              <w:rPr>
                <w:rFonts w:cstheme="minorHAnsi"/>
                <w:sz w:val="20"/>
                <w:szCs w:val="20"/>
              </w:rPr>
            </w:pPr>
            <w:r w:rsidRPr="00A10F14">
              <w:rPr>
                <w:rFonts w:cstheme="minorHAnsi"/>
                <w:sz w:val="20"/>
                <w:szCs w:val="20"/>
              </w:rPr>
              <w:t xml:space="preserve">Requirements related to malpractice insurance for educators and non-traditional disciplines </w:t>
            </w:r>
          </w:p>
        </w:tc>
        <w:tc>
          <w:tcPr>
            <w:tcW w:w="10530" w:type="dxa"/>
          </w:tcPr>
          <w:p w14:paraId="515259B1" w14:textId="77777777" w:rsidR="00A10F14" w:rsidRPr="00A10F14" w:rsidRDefault="00A10F14" w:rsidP="00A10F14">
            <w:pPr>
              <w:rPr>
                <w:rFonts w:cstheme="minorHAnsi"/>
                <w:sz w:val="20"/>
                <w:szCs w:val="20"/>
              </w:rPr>
            </w:pPr>
            <w:r w:rsidRPr="00A10F14">
              <w:rPr>
                <w:rFonts w:cstheme="minorHAnsi"/>
                <w:sz w:val="20"/>
                <w:szCs w:val="20"/>
              </w:rPr>
              <w:t xml:space="preserve"> Malpractice insurance requirements are included in each group contract. EI providers are linked to INN group records with requirements to maintain professional liability /medical liability insurance- limits must comply with all state laws and/or regulations. Those disciplines such as educators and service coordinators who wish to provider therapy services for Anthem are required to send verification of malpractice/liability insurance coverage to Anthems Early Intervention Services Support email (</w:t>
            </w:r>
            <w:hyperlink r:id="rId15" w:history="1">
              <w:r w:rsidRPr="00A10F14">
                <w:rPr>
                  <w:rFonts w:cstheme="minorHAnsi"/>
                  <w:color w:val="0000FF"/>
                  <w:sz w:val="20"/>
                  <w:szCs w:val="20"/>
                  <w:u w:val="single"/>
                </w:rPr>
                <w:t>EarlyinterventionServicesSupport@anthem.com</w:t>
              </w:r>
            </w:hyperlink>
            <w:r w:rsidRPr="00A10F14">
              <w:rPr>
                <w:rFonts w:cstheme="minorHAnsi"/>
                <w:sz w:val="20"/>
                <w:szCs w:val="20"/>
              </w:rPr>
              <w:t xml:space="preserve">) before receiving an active provider record. </w:t>
            </w:r>
          </w:p>
        </w:tc>
      </w:tr>
      <w:tr w:rsidR="00A10F14" w:rsidRPr="00A10F14" w14:paraId="44EBC69A" w14:textId="77777777" w:rsidTr="00EF15B9">
        <w:tc>
          <w:tcPr>
            <w:tcW w:w="1705" w:type="dxa"/>
          </w:tcPr>
          <w:p w14:paraId="60C2CC4B" w14:textId="77777777" w:rsidR="00A10F14" w:rsidRPr="00A10F14" w:rsidRDefault="00A10F14" w:rsidP="00A10F14">
            <w:pPr>
              <w:rPr>
                <w:rFonts w:cstheme="minorHAnsi"/>
                <w:sz w:val="20"/>
                <w:szCs w:val="20"/>
              </w:rPr>
            </w:pPr>
            <w:r w:rsidRPr="00A10F14">
              <w:rPr>
                <w:rFonts w:cstheme="minorHAnsi"/>
                <w:sz w:val="20"/>
                <w:szCs w:val="20"/>
              </w:rPr>
              <w:t>IFSP</w:t>
            </w:r>
          </w:p>
        </w:tc>
        <w:tc>
          <w:tcPr>
            <w:tcW w:w="3690" w:type="dxa"/>
          </w:tcPr>
          <w:p w14:paraId="2C245567" w14:textId="77777777" w:rsidR="00A10F14" w:rsidRPr="00A10F14" w:rsidRDefault="00A10F14" w:rsidP="00A10F14">
            <w:pPr>
              <w:rPr>
                <w:rFonts w:cstheme="minorHAnsi"/>
                <w:sz w:val="20"/>
                <w:szCs w:val="20"/>
              </w:rPr>
            </w:pPr>
            <w:r w:rsidRPr="00A10F14">
              <w:rPr>
                <w:rFonts w:cstheme="minorHAnsi"/>
                <w:sz w:val="20"/>
                <w:szCs w:val="20"/>
              </w:rPr>
              <w:t xml:space="preserve">IFSP must be on file with the MCO for the claim to be considered a Clean Claim. </w:t>
            </w:r>
          </w:p>
          <w:p w14:paraId="08ED2970" w14:textId="77777777" w:rsidR="00A10F14" w:rsidRPr="00A10F14" w:rsidRDefault="00A10F14" w:rsidP="00A10F14">
            <w:pPr>
              <w:rPr>
                <w:rFonts w:cstheme="minorHAnsi"/>
                <w:sz w:val="20"/>
                <w:szCs w:val="20"/>
              </w:rPr>
            </w:pPr>
          </w:p>
          <w:p w14:paraId="0D5B5913" w14:textId="77777777" w:rsidR="00A10F14" w:rsidRPr="00A10F14" w:rsidRDefault="00A10F14" w:rsidP="00A10F14">
            <w:pPr>
              <w:rPr>
                <w:rFonts w:cstheme="minorHAnsi"/>
                <w:sz w:val="20"/>
                <w:szCs w:val="20"/>
              </w:rPr>
            </w:pPr>
            <w:r w:rsidRPr="00A10F14">
              <w:rPr>
                <w:rFonts w:cstheme="minorHAnsi"/>
                <w:sz w:val="20"/>
                <w:szCs w:val="20"/>
              </w:rPr>
              <w:t>If the IFSP is not on file with the MCO prior to the MCO receiving the claim, the claim will not be considered clean and the 14-day timeframe does not apply.</w:t>
            </w:r>
          </w:p>
        </w:tc>
        <w:tc>
          <w:tcPr>
            <w:tcW w:w="2970" w:type="dxa"/>
          </w:tcPr>
          <w:p w14:paraId="0474E7E7" w14:textId="77777777" w:rsidR="00A10F14" w:rsidRPr="00A10F14" w:rsidRDefault="00A10F14" w:rsidP="00A10F14">
            <w:pPr>
              <w:numPr>
                <w:ilvl w:val="0"/>
                <w:numId w:val="3"/>
              </w:numPr>
              <w:ind w:left="216" w:hanging="216"/>
              <w:contextualSpacing/>
              <w:rPr>
                <w:rFonts w:cstheme="minorHAnsi"/>
                <w:sz w:val="20"/>
                <w:szCs w:val="20"/>
              </w:rPr>
            </w:pPr>
            <w:r w:rsidRPr="00A10F14">
              <w:rPr>
                <w:rFonts w:cstheme="minorHAnsi"/>
                <w:sz w:val="20"/>
                <w:szCs w:val="20"/>
              </w:rPr>
              <w:t>Method for LLAs to submit IFSP (fax, email) with the specific contact information</w:t>
            </w:r>
          </w:p>
          <w:p w14:paraId="13F12CA9" w14:textId="77777777" w:rsidR="00A10F14" w:rsidRPr="00A10F14" w:rsidRDefault="00A10F14" w:rsidP="00A10F14">
            <w:pPr>
              <w:numPr>
                <w:ilvl w:val="0"/>
                <w:numId w:val="3"/>
              </w:numPr>
              <w:ind w:left="216" w:hanging="216"/>
              <w:contextualSpacing/>
              <w:rPr>
                <w:rFonts w:cstheme="minorHAnsi"/>
                <w:sz w:val="20"/>
                <w:szCs w:val="20"/>
              </w:rPr>
            </w:pPr>
            <w:r w:rsidRPr="00A10F14">
              <w:rPr>
                <w:rFonts w:cstheme="minorHAnsi"/>
                <w:sz w:val="20"/>
                <w:szCs w:val="20"/>
              </w:rPr>
              <w:t>Submission process of multiple IFSPs, i.e., batch or individual files</w:t>
            </w:r>
          </w:p>
          <w:p w14:paraId="264B1B86" w14:textId="77777777" w:rsidR="00A10F14" w:rsidRPr="00A10F14" w:rsidRDefault="00A10F14" w:rsidP="00A10F14">
            <w:pPr>
              <w:numPr>
                <w:ilvl w:val="0"/>
                <w:numId w:val="3"/>
              </w:numPr>
              <w:ind w:left="216" w:hanging="216"/>
              <w:contextualSpacing/>
              <w:rPr>
                <w:rFonts w:cstheme="minorHAnsi"/>
                <w:sz w:val="20"/>
                <w:szCs w:val="20"/>
              </w:rPr>
            </w:pPr>
            <w:r w:rsidRPr="00A10F14">
              <w:rPr>
                <w:rFonts w:cstheme="minorHAnsi"/>
                <w:sz w:val="20"/>
                <w:szCs w:val="20"/>
              </w:rPr>
              <w:t>Confirmation of receipt of IFSP</w:t>
            </w:r>
          </w:p>
        </w:tc>
        <w:tc>
          <w:tcPr>
            <w:tcW w:w="10530" w:type="dxa"/>
          </w:tcPr>
          <w:p w14:paraId="2A6BAC23" w14:textId="77777777" w:rsidR="00A10F14" w:rsidRPr="00A10F14" w:rsidRDefault="00A10F14" w:rsidP="00A10F14">
            <w:pPr>
              <w:numPr>
                <w:ilvl w:val="0"/>
                <w:numId w:val="12"/>
              </w:numPr>
              <w:ind w:left="360"/>
              <w:contextualSpacing/>
              <w:rPr>
                <w:rFonts w:cstheme="minorHAnsi"/>
                <w:sz w:val="20"/>
                <w:szCs w:val="20"/>
              </w:rPr>
            </w:pPr>
            <w:r w:rsidRPr="00A10F14">
              <w:rPr>
                <w:rFonts w:cstheme="minorHAnsi"/>
                <w:sz w:val="20"/>
                <w:szCs w:val="20"/>
              </w:rPr>
              <w:t xml:space="preserve">Currently, the plan receives IFSPs by fax to 866-920-4097 and email to </w:t>
            </w:r>
            <w:hyperlink r:id="rId16" w:history="1">
              <w:r w:rsidRPr="00A10F14">
                <w:rPr>
                  <w:rFonts w:cstheme="minorHAnsi"/>
                  <w:color w:val="0000FF"/>
                  <w:sz w:val="20"/>
                  <w:szCs w:val="20"/>
                  <w:u w:val="single"/>
                </w:rPr>
                <w:t>EarlyInterventionServicesSupport@anthem.com</w:t>
              </w:r>
            </w:hyperlink>
            <w:r w:rsidRPr="00A10F14">
              <w:rPr>
                <w:rFonts w:cstheme="minorHAnsi"/>
                <w:sz w:val="20"/>
                <w:szCs w:val="20"/>
              </w:rPr>
              <w:t xml:space="preserve">. IFSPs that are faxed must be done individually as these are uploaded to the member’s electronic record. </w:t>
            </w:r>
          </w:p>
          <w:p w14:paraId="7FB786FD" w14:textId="77777777" w:rsidR="00A10F14" w:rsidRPr="00A10F14" w:rsidRDefault="00A10F14" w:rsidP="00A10F14">
            <w:pPr>
              <w:numPr>
                <w:ilvl w:val="0"/>
                <w:numId w:val="12"/>
              </w:numPr>
              <w:ind w:left="360"/>
              <w:contextualSpacing/>
              <w:rPr>
                <w:rFonts w:cstheme="minorHAnsi"/>
                <w:sz w:val="20"/>
                <w:szCs w:val="20"/>
              </w:rPr>
            </w:pPr>
            <w:r w:rsidRPr="00A10F14">
              <w:rPr>
                <w:rFonts w:cstheme="minorHAnsi"/>
                <w:sz w:val="20"/>
                <w:szCs w:val="20"/>
              </w:rPr>
              <w:t>Providers may email IFSPs in bulk separately.</w:t>
            </w:r>
          </w:p>
          <w:p w14:paraId="3EC294AB" w14:textId="77777777" w:rsidR="00A10F14" w:rsidRPr="00A10F14" w:rsidRDefault="00A10F14" w:rsidP="00A10F14">
            <w:pPr>
              <w:numPr>
                <w:ilvl w:val="0"/>
                <w:numId w:val="12"/>
              </w:numPr>
              <w:ind w:left="360"/>
              <w:contextualSpacing/>
              <w:rPr>
                <w:rFonts w:cstheme="minorHAnsi"/>
                <w:sz w:val="20"/>
                <w:szCs w:val="20"/>
              </w:rPr>
            </w:pPr>
            <w:r w:rsidRPr="00A10F14">
              <w:rPr>
                <w:rFonts w:cstheme="minorHAnsi"/>
                <w:sz w:val="20"/>
                <w:szCs w:val="20"/>
              </w:rPr>
              <w:t xml:space="preserve">When the IFSP is received, a fax confirmation notification will be sent to the EI provider that the IFSP has been received and will include the name and contact information of the Care Coordinator if there is an assigned Care Coordinator. </w:t>
            </w:r>
          </w:p>
          <w:p w14:paraId="49CE283B" w14:textId="77777777" w:rsidR="00A10F14" w:rsidRPr="00A10F14" w:rsidRDefault="00A10F14" w:rsidP="00A10F14">
            <w:pPr>
              <w:numPr>
                <w:ilvl w:val="0"/>
                <w:numId w:val="10"/>
              </w:numPr>
              <w:ind w:left="360"/>
              <w:rPr>
                <w:rFonts w:cstheme="minorHAnsi"/>
                <w:sz w:val="20"/>
                <w:szCs w:val="20"/>
              </w:rPr>
            </w:pPr>
            <w:r w:rsidRPr="00A10F14">
              <w:rPr>
                <w:rFonts w:cstheme="minorHAnsi"/>
                <w:sz w:val="20"/>
                <w:szCs w:val="20"/>
              </w:rPr>
              <w:t>Providers may email IFSPs in bulk.</w:t>
            </w:r>
          </w:p>
          <w:p w14:paraId="04EA3D8C" w14:textId="77777777" w:rsidR="00A10F14" w:rsidRPr="00A10F14" w:rsidRDefault="00A10F14" w:rsidP="00A10F14">
            <w:pPr>
              <w:numPr>
                <w:ilvl w:val="0"/>
                <w:numId w:val="10"/>
              </w:numPr>
              <w:ind w:left="360"/>
              <w:rPr>
                <w:rFonts w:cstheme="minorHAnsi"/>
                <w:sz w:val="20"/>
                <w:szCs w:val="20"/>
              </w:rPr>
            </w:pPr>
            <w:r w:rsidRPr="00A10F14">
              <w:rPr>
                <w:rFonts w:cstheme="minorHAnsi"/>
                <w:sz w:val="20"/>
                <w:szCs w:val="20"/>
              </w:rPr>
              <w:t>It is important to know that for incoming emails originating from outside of Anthem, the security would need to occur on the end of the sender as we ensure all incoming emails have a level of security but we cannot dictate the security before items are sent to the plan</w:t>
            </w:r>
          </w:p>
          <w:p w14:paraId="2947DCBB" w14:textId="77777777" w:rsidR="00A10F14" w:rsidRPr="00A10F14" w:rsidRDefault="00A10F14" w:rsidP="00A10F14">
            <w:pPr>
              <w:numPr>
                <w:ilvl w:val="1"/>
                <w:numId w:val="11"/>
              </w:numPr>
              <w:ind w:left="360"/>
              <w:rPr>
                <w:rFonts w:cstheme="minorHAnsi"/>
                <w:sz w:val="20"/>
                <w:szCs w:val="20"/>
              </w:rPr>
            </w:pPr>
            <w:r w:rsidRPr="00A10F14">
              <w:rPr>
                <w:rFonts w:cstheme="minorHAnsi"/>
                <w:sz w:val="20"/>
                <w:szCs w:val="20"/>
              </w:rPr>
              <w:t xml:space="preserve">Note: If a provider is requesting a secure email because they do not have one themselves a request can be made to </w:t>
            </w:r>
            <w:hyperlink r:id="rId17" w:history="1">
              <w:r w:rsidRPr="00A10F14">
                <w:rPr>
                  <w:rFonts w:cstheme="minorHAnsi"/>
                  <w:color w:val="0000FF"/>
                  <w:sz w:val="20"/>
                  <w:szCs w:val="20"/>
                  <w:u w:val="single"/>
                </w:rPr>
                <w:t>bernard.christmas@anthem.com</w:t>
              </w:r>
            </w:hyperlink>
            <w:r w:rsidRPr="00A10F14">
              <w:rPr>
                <w:rFonts w:cstheme="minorHAnsi"/>
                <w:sz w:val="20"/>
                <w:szCs w:val="20"/>
              </w:rPr>
              <w:t xml:space="preserve"> who will send a secure email along with the designated email address </w:t>
            </w:r>
            <w:hyperlink r:id="rId18" w:history="1">
              <w:r w:rsidRPr="00A10F14">
                <w:rPr>
                  <w:rFonts w:cstheme="minorHAnsi"/>
                  <w:color w:val="0000FF"/>
                  <w:sz w:val="20"/>
                  <w:szCs w:val="20"/>
                  <w:u w:val="single"/>
                </w:rPr>
                <w:t>EarlyInterventionServicesSupport@anthem.com</w:t>
              </w:r>
            </w:hyperlink>
            <w:r w:rsidRPr="00A10F14">
              <w:rPr>
                <w:rFonts w:cstheme="minorHAnsi"/>
                <w:color w:val="0000FF"/>
                <w:sz w:val="20"/>
                <w:szCs w:val="20"/>
                <w:u w:val="single"/>
              </w:rPr>
              <w:t>.</w:t>
            </w:r>
          </w:p>
        </w:tc>
      </w:tr>
      <w:tr w:rsidR="00A10F14" w:rsidRPr="00A10F14" w14:paraId="1092DF28" w14:textId="77777777" w:rsidTr="00EF15B9">
        <w:tc>
          <w:tcPr>
            <w:tcW w:w="1705" w:type="dxa"/>
          </w:tcPr>
          <w:p w14:paraId="242EE587" w14:textId="77777777" w:rsidR="00A10F14" w:rsidRPr="00A10F14" w:rsidRDefault="00A10F14" w:rsidP="00A10F14">
            <w:pPr>
              <w:rPr>
                <w:rFonts w:cstheme="minorHAnsi"/>
                <w:sz w:val="20"/>
                <w:szCs w:val="20"/>
              </w:rPr>
            </w:pPr>
            <w:r w:rsidRPr="00A10F14">
              <w:rPr>
                <w:rFonts w:cstheme="minorHAnsi"/>
                <w:sz w:val="20"/>
                <w:szCs w:val="20"/>
              </w:rPr>
              <w:t>Clean Claim</w:t>
            </w:r>
          </w:p>
        </w:tc>
        <w:tc>
          <w:tcPr>
            <w:tcW w:w="3690" w:type="dxa"/>
          </w:tcPr>
          <w:p w14:paraId="36282EE1" w14:textId="77777777" w:rsidR="00A10F14" w:rsidRPr="00A10F14" w:rsidRDefault="00A10F14" w:rsidP="00A10F14">
            <w:pPr>
              <w:rPr>
                <w:rFonts w:cstheme="minorHAnsi"/>
                <w:sz w:val="20"/>
                <w:szCs w:val="20"/>
              </w:rPr>
            </w:pPr>
            <w:r w:rsidRPr="00A10F14">
              <w:rPr>
                <w:rFonts w:cstheme="minorHAnsi"/>
                <w:sz w:val="20"/>
                <w:szCs w:val="20"/>
              </w:rPr>
              <w:t>Clean claims must be paid within 14 days.</w:t>
            </w:r>
          </w:p>
        </w:tc>
        <w:tc>
          <w:tcPr>
            <w:tcW w:w="2970" w:type="dxa"/>
          </w:tcPr>
          <w:p w14:paraId="3E9B487A" w14:textId="77777777" w:rsidR="00A10F14" w:rsidRPr="00A10F14" w:rsidRDefault="00A10F14" w:rsidP="00A10F14">
            <w:pPr>
              <w:numPr>
                <w:ilvl w:val="0"/>
                <w:numId w:val="4"/>
              </w:numPr>
              <w:ind w:left="216" w:hanging="216"/>
              <w:contextualSpacing/>
              <w:rPr>
                <w:rFonts w:cstheme="minorHAnsi"/>
                <w:sz w:val="20"/>
                <w:szCs w:val="20"/>
              </w:rPr>
            </w:pPr>
            <w:r w:rsidRPr="00A10F14">
              <w:rPr>
                <w:rFonts w:cstheme="minorHAnsi"/>
                <w:sz w:val="20"/>
                <w:szCs w:val="20"/>
              </w:rPr>
              <w:t>Process for non-clean claims, i.e., rejected or denied</w:t>
            </w:r>
          </w:p>
          <w:p w14:paraId="663848E2" w14:textId="77777777" w:rsidR="00A10F14" w:rsidRPr="00A10F14" w:rsidRDefault="00A10F14" w:rsidP="00A10F14">
            <w:pPr>
              <w:numPr>
                <w:ilvl w:val="0"/>
                <w:numId w:val="4"/>
              </w:numPr>
              <w:ind w:left="216" w:hanging="216"/>
              <w:contextualSpacing/>
              <w:rPr>
                <w:rFonts w:cstheme="minorHAnsi"/>
                <w:sz w:val="20"/>
                <w:szCs w:val="20"/>
              </w:rPr>
            </w:pPr>
            <w:r w:rsidRPr="00A10F14">
              <w:rPr>
                <w:rFonts w:cstheme="minorHAnsi"/>
                <w:sz w:val="20"/>
                <w:szCs w:val="20"/>
              </w:rPr>
              <w:t>Process for handling non-clean claims with the provider</w:t>
            </w:r>
          </w:p>
        </w:tc>
        <w:tc>
          <w:tcPr>
            <w:tcW w:w="10530" w:type="dxa"/>
          </w:tcPr>
          <w:p w14:paraId="1850FAC5" w14:textId="77777777" w:rsidR="00A10F14" w:rsidRPr="00A10F14" w:rsidRDefault="00A10F14" w:rsidP="00A10F14">
            <w:pPr>
              <w:rPr>
                <w:rFonts w:cstheme="minorHAnsi"/>
                <w:sz w:val="20"/>
                <w:szCs w:val="20"/>
              </w:rPr>
            </w:pPr>
            <w:r w:rsidRPr="00A10F14">
              <w:rPr>
                <w:rFonts w:cstheme="minorHAnsi"/>
                <w:sz w:val="20"/>
                <w:szCs w:val="20"/>
              </w:rPr>
              <w:t>Anthem consider a clean claim as a request for payment for a service rendered by a provider that:</w:t>
            </w:r>
          </w:p>
          <w:p w14:paraId="75B103EC" w14:textId="77777777" w:rsidR="00A10F14" w:rsidRPr="00A10F14" w:rsidRDefault="00A10F14" w:rsidP="00A10F14">
            <w:pPr>
              <w:numPr>
                <w:ilvl w:val="0"/>
                <w:numId w:val="11"/>
              </w:numPr>
              <w:contextualSpacing/>
              <w:rPr>
                <w:rFonts w:cstheme="minorHAnsi"/>
                <w:sz w:val="20"/>
                <w:szCs w:val="20"/>
              </w:rPr>
            </w:pPr>
            <w:r w:rsidRPr="00A10F14">
              <w:rPr>
                <w:rFonts w:cstheme="minorHAnsi"/>
                <w:sz w:val="20"/>
                <w:szCs w:val="20"/>
              </w:rPr>
              <w:t>Is submitted on time.</w:t>
            </w:r>
          </w:p>
          <w:p w14:paraId="22F062F5" w14:textId="77777777" w:rsidR="00A10F14" w:rsidRPr="00A10F14" w:rsidRDefault="00A10F14" w:rsidP="00A10F14">
            <w:pPr>
              <w:numPr>
                <w:ilvl w:val="0"/>
                <w:numId w:val="11"/>
              </w:numPr>
              <w:contextualSpacing/>
              <w:rPr>
                <w:rFonts w:cstheme="minorHAnsi"/>
                <w:sz w:val="20"/>
                <w:szCs w:val="20"/>
              </w:rPr>
            </w:pPr>
            <w:r w:rsidRPr="00A10F14">
              <w:rPr>
                <w:rFonts w:cstheme="minorHAnsi"/>
                <w:sz w:val="20"/>
                <w:szCs w:val="20"/>
              </w:rPr>
              <w:t>Is accurate.</w:t>
            </w:r>
          </w:p>
          <w:p w14:paraId="7B110BF8" w14:textId="77777777" w:rsidR="00A10F14" w:rsidRPr="00A10F14" w:rsidRDefault="00A10F14" w:rsidP="00A10F14">
            <w:pPr>
              <w:numPr>
                <w:ilvl w:val="0"/>
                <w:numId w:val="11"/>
              </w:numPr>
              <w:contextualSpacing/>
              <w:rPr>
                <w:rFonts w:cstheme="minorHAnsi"/>
                <w:sz w:val="20"/>
                <w:szCs w:val="20"/>
              </w:rPr>
            </w:pPr>
            <w:r w:rsidRPr="00A10F14">
              <w:rPr>
                <w:rFonts w:cstheme="minorHAnsi"/>
                <w:sz w:val="20"/>
                <w:szCs w:val="20"/>
              </w:rPr>
              <w:t>Is submitted on a HIPAA-compliant standard claim form (CMS-1500, CMS-1450 (UB04) or successor forms).</w:t>
            </w:r>
          </w:p>
          <w:p w14:paraId="5805276C" w14:textId="77777777" w:rsidR="00A10F14" w:rsidRPr="00A10F14" w:rsidRDefault="00A10F14" w:rsidP="00A10F14">
            <w:pPr>
              <w:numPr>
                <w:ilvl w:val="0"/>
                <w:numId w:val="13"/>
              </w:numPr>
              <w:contextualSpacing/>
              <w:rPr>
                <w:rFonts w:cstheme="minorHAnsi"/>
                <w:sz w:val="20"/>
                <w:szCs w:val="20"/>
              </w:rPr>
            </w:pPr>
            <w:r w:rsidRPr="00A10F14">
              <w:rPr>
                <w:rFonts w:cstheme="minorHAnsi"/>
                <w:sz w:val="20"/>
                <w:szCs w:val="20"/>
              </w:rPr>
              <w:t>Requires no further information, adjustment or alteration to be processed and paid.</w:t>
            </w:r>
          </w:p>
          <w:p w14:paraId="58C63DAA" w14:textId="77777777" w:rsidR="00A10F14" w:rsidRPr="00A10F14" w:rsidRDefault="00A10F14" w:rsidP="00A10F14">
            <w:pPr>
              <w:numPr>
                <w:ilvl w:val="0"/>
                <w:numId w:val="13"/>
              </w:numPr>
              <w:contextualSpacing/>
              <w:rPr>
                <w:rFonts w:cstheme="minorHAnsi"/>
                <w:sz w:val="20"/>
                <w:szCs w:val="20"/>
              </w:rPr>
            </w:pPr>
            <w:r w:rsidRPr="00A10F14">
              <w:rPr>
                <w:rFonts w:cstheme="minorHAnsi"/>
                <w:sz w:val="20"/>
                <w:szCs w:val="20"/>
              </w:rPr>
              <w:t>Is not from a provider who is under investigation for fraud or abuse.</w:t>
            </w:r>
          </w:p>
          <w:p w14:paraId="48387E05" w14:textId="77777777" w:rsidR="00A10F14" w:rsidRPr="00A10F14" w:rsidRDefault="00A10F14" w:rsidP="00A10F14">
            <w:pPr>
              <w:numPr>
                <w:ilvl w:val="0"/>
                <w:numId w:val="13"/>
              </w:numPr>
              <w:contextualSpacing/>
              <w:rPr>
                <w:rFonts w:cstheme="minorHAnsi"/>
                <w:sz w:val="20"/>
                <w:szCs w:val="20"/>
              </w:rPr>
            </w:pPr>
            <w:r w:rsidRPr="00A10F14">
              <w:rPr>
                <w:rFonts w:cstheme="minorHAnsi"/>
                <w:sz w:val="20"/>
                <w:szCs w:val="20"/>
              </w:rPr>
              <w:t>Is not a claim under review for medical necessity.</w:t>
            </w:r>
            <w:r w:rsidRPr="00A10F14">
              <w:rPr>
                <w:rFonts w:cstheme="minorHAnsi"/>
                <w:b/>
                <w:color w:val="FF0000"/>
                <w:sz w:val="20"/>
                <w:szCs w:val="20"/>
              </w:rPr>
              <w:t xml:space="preserve"> </w:t>
            </w:r>
            <w:r w:rsidRPr="00A10F14">
              <w:rPr>
                <w:rFonts w:cstheme="minorHAnsi"/>
                <w:sz w:val="20"/>
                <w:szCs w:val="20"/>
              </w:rPr>
              <w:t xml:space="preserve">No claims fall into this category and should be removed. </w:t>
            </w:r>
          </w:p>
          <w:p w14:paraId="3A4768CC" w14:textId="77777777" w:rsidR="00A10F14" w:rsidRPr="00A10F14" w:rsidRDefault="00A10F14" w:rsidP="00A10F14">
            <w:pPr>
              <w:ind w:left="720"/>
              <w:contextualSpacing/>
              <w:rPr>
                <w:rFonts w:cstheme="minorHAnsi"/>
                <w:sz w:val="20"/>
                <w:szCs w:val="20"/>
              </w:rPr>
            </w:pPr>
          </w:p>
          <w:p w14:paraId="608C31EC" w14:textId="77777777" w:rsidR="00A10F14" w:rsidRPr="00A10F14" w:rsidRDefault="00A10F14" w:rsidP="00A10F14">
            <w:pPr>
              <w:rPr>
                <w:rFonts w:cstheme="minorHAnsi"/>
                <w:sz w:val="20"/>
                <w:szCs w:val="20"/>
              </w:rPr>
            </w:pPr>
            <w:proofErr w:type="spellStart"/>
            <w:r w:rsidRPr="00A10F14">
              <w:rPr>
                <w:rFonts w:cstheme="minorHAnsi"/>
                <w:sz w:val="20"/>
                <w:szCs w:val="20"/>
              </w:rPr>
              <w:t>HealthKeepers</w:t>
            </w:r>
            <w:proofErr w:type="spellEnd"/>
            <w:r w:rsidRPr="00A10F14">
              <w:rPr>
                <w:rFonts w:cstheme="minorHAnsi"/>
                <w:sz w:val="20"/>
                <w:szCs w:val="20"/>
              </w:rPr>
              <w:t xml:space="preserve">, Inc. will adjudicate clean claims to a paid or denied status within 30 calendar days of receipt for all claims. Claims related to CCC Plus and/or Medallion 4.0 early intervention services are required to be adjudicated within 14 days of receipt if the claims are deemed ‘clean claims’ (see below). If the claim is not paid within these time frames, </w:t>
            </w:r>
            <w:proofErr w:type="spellStart"/>
            <w:r w:rsidRPr="00A10F14">
              <w:rPr>
                <w:rFonts w:cstheme="minorHAnsi"/>
                <w:sz w:val="20"/>
                <w:szCs w:val="20"/>
              </w:rPr>
              <w:t>HealthKeepers</w:t>
            </w:r>
            <w:proofErr w:type="spellEnd"/>
            <w:r w:rsidRPr="00A10F14">
              <w:rPr>
                <w:rFonts w:cstheme="minorHAnsi"/>
                <w:sz w:val="20"/>
                <w:szCs w:val="20"/>
              </w:rPr>
              <w:t>, Inc. will pay all applicable interest as required by law. See the following section for more information on clean claims for Anthem CCC Plus members.</w:t>
            </w:r>
          </w:p>
          <w:p w14:paraId="7D642670" w14:textId="77777777" w:rsidR="00A10F14" w:rsidRPr="00A10F14" w:rsidRDefault="00A10F14" w:rsidP="00A10F14">
            <w:pPr>
              <w:rPr>
                <w:rFonts w:cstheme="minorHAnsi"/>
                <w:sz w:val="20"/>
                <w:szCs w:val="20"/>
              </w:rPr>
            </w:pPr>
          </w:p>
          <w:p w14:paraId="0623929F" w14:textId="77777777" w:rsidR="00A10F14" w:rsidRPr="00A10F14" w:rsidRDefault="00A10F14" w:rsidP="00A10F14">
            <w:pPr>
              <w:rPr>
                <w:rFonts w:cstheme="minorHAnsi"/>
                <w:sz w:val="20"/>
                <w:szCs w:val="20"/>
              </w:rPr>
            </w:pPr>
            <w:proofErr w:type="spellStart"/>
            <w:r w:rsidRPr="00A10F14">
              <w:rPr>
                <w:rFonts w:cstheme="minorHAnsi"/>
                <w:sz w:val="20"/>
                <w:szCs w:val="20"/>
              </w:rPr>
              <w:t>HealthKeepers</w:t>
            </w:r>
            <w:proofErr w:type="spellEnd"/>
            <w:r w:rsidRPr="00A10F14">
              <w:rPr>
                <w:rFonts w:cstheme="minorHAnsi"/>
                <w:sz w:val="20"/>
                <w:szCs w:val="20"/>
              </w:rPr>
              <w:t>, Inc. produces and mails an Explanation of Payment once per week, which shows the status of each claim that has been adjudicated during the previous claim cycle.</w:t>
            </w:r>
          </w:p>
          <w:p w14:paraId="1DBCA206" w14:textId="77777777" w:rsidR="00A10F14" w:rsidRPr="00A10F14" w:rsidRDefault="00A10F14" w:rsidP="00A10F14">
            <w:pPr>
              <w:rPr>
                <w:rFonts w:cstheme="minorHAnsi"/>
                <w:sz w:val="20"/>
                <w:szCs w:val="20"/>
              </w:rPr>
            </w:pPr>
          </w:p>
          <w:p w14:paraId="68A085DC" w14:textId="77777777" w:rsidR="00A10F14" w:rsidRPr="00A10F14" w:rsidRDefault="00A10F14" w:rsidP="00A10F14">
            <w:pPr>
              <w:rPr>
                <w:rFonts w:cstheme="minorHAnsi"/>
                <w:sz w:val="20"/>
                <w:szCs w:val="20"/>
              </w:rPr>
            </w:pPr>
            <w:r w:rsidRPr="00A10F14">
              <w:rPr>
                <w:rFonts w:cstheme="minorHAnsi"/>
                <w:sz w:val="20"/>
                <w:szCs w:val="20"/>
              </w:rPr>
              <w:t xml:space="preserve">If </w:t>
            </w:r>
            <w:proofErr w:type="spellStart"/>
            <w:r w:rsidRPr="00A10F14">
              <w:rPr>
                <w:rFonts w:cstheme="minorHAnsi"/>
                <w:sz w:val="20"/>
                <w:szCs w:val="20"/>
              </w:rPr>
              <w:t>HealthKeepers</w:t>
            </w:r>
            <w:proofErr w:type="spellEnd"/>
            <w:r w:rsidRPr="00A10F14">
              <w:rPr>
                <w:rFonts w:cstheme="minorHAnsi"/>
                <w:sz w:val="20"/>
                <w:szCs w:val="20"/>
              </w:rPr>
              <w:t xml:space="preserve">, Inc. does not receive all of the required information, </w:t>
            </w:r>
            <w:proofErr w:type="spellStart"/>
            <w:r w:rsidRPr="00A10F14">
              <w:rPr>
                <w:rFonts w:cstheme="minorHAnsi"/>
                <w:sz w:val="20"/>
                <w:szCs w:val="20"/>
              </w:rPr>
              <w:t>HealthKeepers</w:t>
            </w:r>
            <w:proofErr w:type="spellEnd"/>
            <w:r w:rsidRPr="00A10F14">
              <w:rPr>
                <w:rFonts w:cstheme="minorHAnsi"/>
                <w:sz w:val="20"/>
                <w:szCs w:val="20"/>
              </w:rPr>
              <w:t xml:space="preserve">, Inc. will deny the claim either in part or in whole within 30 calendar days of receipt of the claim. A request for the missing information will appear on the EOP. Once all requested information has been received, </w:t>
            </w:r>
            <w:proofErr w:type="spellStart"/>
            <w:r w:rsidRPr="00A10F14">
              <w:rPr>
                <w:rFonts w:cstheme="minorHAnsi"/>
                <w:sz w:val="20"/>
                <w:szCs w:val="20"/>
              </w:rPr>
              <w:t>HealthKeepers</w:t>
            </w:r>
            <w:proofErr w:type="spellEnd"/>
            <w:r w:rsidRPr="00A10F14">
              <w:rPr>
                <w:rFonts w:cstheme="minorHAnsi"/>
                <w:sz w:val="20"/>
                <w:szCs w:val="20"/>
              </w:rPr>
              <w:t>, Inc. will process the claim within 30 calendar days.</w:t>
            </w:r>
          </w:p>
          <w:p w14:paraId="713C4646" w14:textId="77777777" w:rsidR="00A10F14" w:rsidRPr="00A10F14" w:rsidRDefault="00A10F14" w:rsidP="00A10F14">
            <w:pPr>
              <w:rPr>
                <w:rFonts w:cstheme="minorHAnsi"/>
                <w:sz w:val="20"/>
                <w:szCs w:val="20"/>
              </w:rPr>
            </w:pPr>
          </w:p>
          <w:p w14:paraId="3060E736" w14:textId="77777777" w:rsidR="00A10F14" w:rsidRPr="00A10F14" w:rsidRDefault="00A10F14" w:rsidP="00A10F14">
            <w:pPr>
              <w:rPr>
                <w:rFonts w:cstheme="minorHAnsi"/>
                <w:sz w:val="20"/>
                <w:szCs w:val="20"/>
              </w:rPr>
            </w:pPr>
            <w:proofErr w:type="spellStart"/>
            <w:r w:rsidRPr="00A10F14">
              <w:rPr>
                <w:rFonts w:cstheme="minorHAnsi"/>
                <w:sz w:val="20"/>
                <w:szCs w:val="20"/>
              </w:rPr>
              <w:t>HealthKeepers</w:t>
            </w:r>
            <w:proofErr w:type="spellEnd"/>
            <w:r w:rsidRPr="00A10F14">
              <w:rPr>
                <w:rFonts w:cstheme="minorHAnsi"/>
                <w:sz w:val="20"/>
                <w:szCs w:val="20"/>
              </w:rPr>
              <w:t xml:space="preserve">, Inc. will return paper claims that are determined to be unclean with a letter stating the reason for the rejection. </w:t>
            </w:r>
            <w:proofErr w:type="spellStart"/>
            <w:r w:rsidRPr="00A10F14">
              <w:rPr>
                <w:rFonts w:cstheme="minorHAnsi"/>
                <w:sz w:val="20"/>
                <w:szCs w:val="20"/>
              </w:rPr>
              <w:t>HealthKeepers</w:t>
            </w:r>
            <w:proofErr w:type="spellEnd"/>
            <w:r w:rsidRPr="00A10F14">
              <w:rPr>
                <w:rFonts w:cstheme="minorHAnsi"/>
                <w:sz w:val="20"/>
                <w:szCs w:val="20"/>
              </w:rPr>
              <w:t>, Inc. will return electronic claims that are determined to be unclean to the clearinghouse that submitted the claim.</w:t>
            </w:r>
          </w:p>
        </w:tc>
      </w:tr>
      <w:tr w:rsidR="00A10F14" w:rsidRPr="00A10F14" w14:paraId="748FA762" w14:textId="77777777" w:rsidTr="00EF15B9">
        <w:tc>
          <w:tcPr>
            <w:tcW w:w="1705" w:type="dxa"/>
          </w:tcPr>
          <w:p w14:paraId="6D87C184" w14:textId="77777777" w:rsidR="00A10F14" w:rsidRPr="00A10F14" w:rsidRDefault="00A10F14" w:rsidP="00A10F14">
            <w:pPr>
              <w:rPr>
                <w:rFonts w:cstheme="minorHAnsi"/>
                <w:sz w:val="20"/>
                <w:szCs w:val="20"/>
              </w:rPr>
            </w:pPr>
            <w:r w:rsidRPr="00A10F14">
              <w:rPr>
                <w:rFonts w:cstheme="minorHAnsi"/>
                <w:sz w:val="20"/>
                <w:szCs w:val="20"/>
              </w:rPr>
              <w:lastRenderedPageBreak/>
              <w:t>Decline to Bill Form and EOB</w:t>
            </w:r>
          </w:p>
        </w:tc>
        <w:tc>
          <w:tcPr>
            <w:tcW w:w="3690" w:type="dxa"/>
          </w:tcPr>
          <w:p w14:paraId="0C17E9CE" w14:textId="77777777" w:rsidR="00A10F14" w:rsidRPr="00A10F14" w:rsidRDefault="00A10F14" w:rsidP="00A10F14">
            <w:pPr>
              <w:rPr>
                <w:rFonts w:cstheme="minorHAnsi"/>
                <w:sz w:val="20"/>
                <w:szCs w:val="20"/>
              </w:rPr>
            </w:pPr>
            <w:r w:rsidRPr="00A10F14">
              <w:rPr>
                <w:rFonts w:cstheme="minorHAnsi"/>
                <w:sz w:val="20"/>
                <w:szCs w:val="20"/>
              </w:rPr>
              <w:t>Families may decline to bill their private insurance for coverage of EI services and will sign the Decline to Bill Form. LLAs will have this form on file.</w:t>
            </w:r>
          </w:p>
          <w:p w14:paraId="0C713943" w14:textId="77777777" w:rsidR="00A10F14" w:rsidRPr="00A10F14" w:rsidRDefault="00A10F14" w:rsidP="00A10F14">
            <w:pPr>
              <w:rPr>
                <w:rFonts w:cstheme="minorHAnsi"/>
                <w:sz w:val="20"/>
                <w:szCs w:val="20"/>
              </w:rPr>
            </w:pPr>
          </w:p>
          <w:p w14:paraId="6EAE865F" w14:textId="77777777" w:rsidR="00A10F14" w:rsidRPr="00A10F14" w:rsidRDefault="00A10F14" w:rsidP="00A10F14">
            <w:pPr>
              <w:rPr>
                <w:rFonts w:cstheme="minorHAnsi"/>
                <w:sz w:val="20"/>
                <w:szCs w:val="20"/>
              </w:rPr>
            </w:pPr>
            <w:r w:rsidRPr="00A10F14">
              <w:rPr>
                <w:rFonts w:cstheme="minorHAnsi"/>
                <w:sz w:val="20"/>
                <w:szCs w:val="20"/>
              </w:rPr>
              <w:t>If family does not decline to bill, the private insurance will send EOB</w:t>
            </w:r>
          </w:p>
        </w:tc>
        <w:tc>
          <w:tcPr>
            <w:tcW w:w="2970" w:type="dxa"/>
          </w:tcPr>
          <w:p w14:paraId="3865CBD8" w14:textId="77777777" w:rsidR="00A10F14" w:rsidRPr="00A10F14" w:rsidRDefault="00A10F14" w:rsidP="00A10F14">
            <w:pPr>
              <w:numPr>
                <w:ilvl w:val="0"/>
                <w:numId w:val="5"/>
              </w:numPr>
              <w:ind w:left="216" w:hanging="216"/>
              <w:contextualSpacing/>
              <w:rPr>
                <w:rFonts w:cstheme="minorHAnsi"/>
                <w:sz w:val="20"/>
                <w:szCs w:val="20"/>
              </w:rPr>
            </w:pPr>
            <w:r w:rsidRPr="00A10F14">
              <w:rPr>
                <w:rFonts w:cstheme="minorHAnsi"/>
                <w:sz w:val="20"/>
                <w:szCs w:val="20"/>
              </w:rPr>
              <w:t>Submission process for Decline to Bill Form</w:t>
            </w:r>
          </w:p>
          <w:p w14:paraId="3449F583" w14:textId="77777777" w:rsidR="00A10F14" w:rsidRPr="00A10F14" w:rsidRDefault="00A10F14" w:rsidP="00A10F14">
            <w:pPr>
              <w:numPr>
                <w:ilvl w:val="0"/>
                <w:numId w:val="5"/>
              </w:numPr>
              <w:ind w:left="216" w:hanging="216"/>
              <w:contextualSpacing/>
              <w:rPr>
                <w:rFonts w:cstheme="minorHAnsi"/>
                <w:sz w:val="20"/>
                <w:szCs w:val="20"/>
              </w:rPr>
            </w:pPr>
            <w:r w:rsidRPr="00A10F14">
              <w:rPr>
                <w:rFonts w:cstheme="minorHAnsi"/>
                <w:sz w:val="20"/>
                <w:szCs w:val="20"/>
              </w:rPr>
              <w:t>Process for ensuring Claims Department is aware of Decline to Bill form</w:t>
            </w:r>
          </w:p>
          <w:p w14:paraId="145C667A" w14:textId="77777777" w:rsidR="00A10F14" w:rsidRPr="00A10F14" w:rsidRDefault="00A10F14" w:rsidP="00A10F14">
            <w:pPr>
              <w:numPr>
                <w:ilvl w:val="0"/>
                <w:numId w:val="5"/>
              </w:numPr>
              <w:ind w:left="216" w:hanging="216"/>
              <w:contextualSpacing/>
              <w:rPr>
                <w:rFonts w:cstheme="minorHAnsi"/>
                <w:sz w:val="20"/>
                <w:szCs w:val="20"/>
              </w:rPr>
            </w:pPr>
            <w:r w:rsidRPr="00A10F14">
              <w:rPr>
                <w:rFonts w:cstheme="minorHAnsi"/>
                <w:sz w:val="20"/>
                <w:szCs w:val="20"/>
              </w:rPr>
              <w:t>Process for handling claims when Decline to Bill is or the EOB are not on file</w:t>
            </w:r>
          </w:p>
        </w:tc>
        <w:tc>
          <w:tcPr>
            <w:tcW w:w="10530" w:type="dxa"/>
          </w:tcPr>
          <w:p w14:paraId="37D41F87" w14:textId="77777777" w:rsidR="00A10F14" w:rsidRPr="00A10F14" w:rsidRDefault="00A10F14" w:rsidP="00A10F14">
            <w:pPr>
              <w:rPr>
                <w:rFonts w:cstheme="minorHAnsi"/>
                <w:sz w:val="20"/>
                <w:szCs w:val="20"/>
              </w:rPr>
            </w:pPr>
            <w:r w:rsidRPr="00A10F14">
              <w:rPr>
                <w:rFonts w:cstheme="minorHAnsi"/>
                <w:sz w:val="20"/>
                <w:szCs w:val="20"/>
              </w:rPr>
              <w:t xml:space="preserve">Anthem’s Medicaid network is unable to submit electronic claims at this time. Therefore, providers are being asked to attach “Decline to bill” forms to the actual claim during the billing process. This process is similar to attaching an EOB for COB claims. These documents are stored in the members file and can be accessed through </w:t>
            </w:r>
            <w:proofErr w:type="spellStart"/>
            <w:r w:rsidRPr="00A10F14">
              <w:rPr>
                <w:rFonts w:cstheme="minorHAnsi"/>
                <w:sz w:val="20"/>
                <w:szCs w:val="20"/>
              </w:rPr>
              <w:t>Macess</w:t>
            </w:r>
            <w:proofErr w:type="spellEnd"/>
            <w:r w:rsidRPr="00A10F14">
              <w:rPr>
                <w:rFonts w:cstheme="minorHAnsi"/>
                <w:sz w:val="20"/>
                <w:szCs w:val="20"/>
              </w:rPr>
              <w:t xml:space="preserve">. When claims are scanned for processing the waiver form is also attached and considered during the COB process with the claim. Providers can also submit Decline to bill forms to </w:t>
            </w:r>
            <w:hyperlink r:id="rId19" w:history="1">
              <w:r w:rsidRPr="00A10F14">
                <w:rPr>
                  <w:rFonts w:cstheme="minorHAnsi"/>
                  <w:color w:val="0000FF"/>
                  <w:sz w:val="20"/>
                  <w:szCs w:val="20"/>
                  <w:u w:val="single"/>
                </w:rPr>
                <w:t>bernard.christmas@anthem.com</w:t>
              </w:r>
            </w:hyperlink>
          </w:p>
          <w:p w14:paraId="5FCA4346" w14:textId="77777777" w:rsidR="00A10F14" w:rsidRPr="00A10F14" w:rsidRDefault="00A10F14" w:rsidP="00A10F14">
            <w:pPr>
              <w:rPr>
                <w:rFonts w:cstheme="minorHAnsi"/>
                <w:sz w:val="20"/>
                <w:szCs w:val="20"/>
              </w:rPr>
            </w:pPr>
          </w:p>
          <w:p w14:paraId="6D83CE56" w14:textId="77777777" w:rsidR="00A10F14" w:rsidRPr="00A10F14" w:rsidRDefault="00A10F14" w:rsidP="00A10F14">
            <w:pPr>
              <w:rPr>
                <w:rFonts w:cstheme="minorHAnsi"/>
                <w:sz w:val="20"/>
                <w:szCs w:val="20"/>
              </w:rPr>
            </w:pPr>
            <w:r w:rsidRPr="00A10F14">
              <w:rPr>
                <w:rFonts w:cstheme="minorHAnsi"/>
                <w:sz w:val="20"/>
                <w:szCs w:val="20"/>
              </w:rPr>
              <w:t xml:space="preserve">Anthem is currently updating its COB processes to automate the tracking of Decline to Bill forms. Claims requiring primary EOB or Decline to Bill form without documentation will be denied. EI lead normally receives DTB forms that are not on file, from providers. However, we are currently discussing other COB processes to better address DTB forms. </w:t>
            </w:r>
          </w:p>
        </w:tc>
      </w:tr>
      <w:tr w:rsidR="00A10F14" w:rsidRPr="00A10F14" w14:paraId="694859D7" w14:textId="77777777" w:rsidTr="00EF15B9">
        <w:tc>
          <w:tcPr>
            <w:tcW w:w="1705" w:type="dxa"/>
          </w:tcPr>
          <w:p w14:paraId="46155B67" w14:textId="77777777" w:rsidR="00A10F14" w:rsidRPr="00A10F14" w:rsidRDefault="00A10F14" w:rsidP="00A10F14">
            <w:pPr>
              <w:rPr>
                <w:rFonts w:cstheme="minorHAnsi"/>
                <w:sz w:val="20"/>
                <w:szCs w:val="20"/>
              </w:rPr>
            </w:pPr>
            <w:r w:rsidRPr="00A10F14">
              <w:rPr>
                <w:rFonts w:cstheme="minorHAnsi"/>
                <w:sz w:val="20"/>
                <w:szCs w:val="20"/>
              </w:rPr>
              <w:t>EI Enrollment and Indicator</w:t>
            </w:r>
          </w:p>
        </w:tc>
        <w:tc>
          <w:tcPr>
            <w:tcW w:w="3690" w:type="dxa"/>
          </w:tcPr>
          <w:p w14:paraId="3C60618C" w14:textId="77777777" w:rsidR="00A10F14" w:rsidRPr="00A10F14" w:rsidRDefault="00A10F14" w:rsidP="00A10F14">
            <w:pPr>
              <w:rPr>
                <w:rFonts w:cstheme="minorHAnsi"/>
                <w:sz w:val="20"/>
                <w:szCs w:val="20"/>
              </w:rPr>
            </w:pPr>
            <w:r w:rsidRPr="00A10F14">
              <w:rPr>
                <w:rFonts w:cstheme="minorHAnsi"/>
                <w:sz w:val="20"/>
                <w:szCs w:val="20"/>
              </w:rPr>
              <w:t xml:space="preserve">A child must have an EI indicator on the enrollment file in order for an EI service to be reimbursed. </w:t>
            </w:r>
          </w:p>
          <w:p w14:paraId="588B1D9C" w14:textId="77777777" w:rsidR="00A10F14" w:rsidRPr="00A10F14" w:rsidRDefault="00A10F14" w:rsidP="00A10F14">
            <w:pPr>
              <w:rPr>
                <w:rFonts w:cstheme="minorHAnsi"/>
                <w:sz w:val="20"/>
                <w:szCs w:val="20"/>
              </w:rPr>
            </w:pPr>
            <w:r w:rsidRPr="00A10F14">
              <w:rPr>
                <w:rFonts w:cstheme="minorHAnsi"/>
                <w:sz w:val="20"/>
                <w:szCs w:val="20"/>
              </w:rPr>
              <w:t>Due to timing of the enrollment file, if the provider bills prior to the MCO receiving the file listing the child as having the EI indicator, the claim will deny due to “child not enrolled in the EI”. This impacts submission of a clean claim.</w:t>
            </w:r>
          </w:p>
        </w:tc>
        <w:tc>
          <w:tcPr>
            <w:tcW w:w="2970" w:type="dxa"/>
          </w:tcPr>
          <w:p w14:paraId="6BFBDD22" w14:textId="77777777" w:rsidR="00A10F14" w:rsidRPr="00A10F14" w:rsidRDefault="00A10F14" w:rsidP="00A10F14">
            <w:pPr>
              <w:numPr>
                <w:ilvl w:val="0"/>
                <w:numId w:val="6"/>
              </w:numPr>
              <w:ind w:left="216" w:hanging="216"/>
              <w:contextualSpacing/>
              <w:rPr>
                <w:rFonts w:cstheme="minorHAnsi"/>
                <w:sz w:val="20"/>
                <w:szCs w:val="20"/>
              </w:rPr>
            </w:pPr>
            <w:r w:rsidRPr="00A10F14">
              <w:rPr>
                <w:rFonts w:cstheme="minorHAnsi"/>
                <w:sz w:val="20"/>
                <w:szCs w:val="20"/>
              </w:rPr>
              <w:t>Process to handle claims when the EI indicator is not on plan enrollment file</w:t>
            </w:r>
          </w:p>
        </w:tc>
        <w:tc>
          <w:tcPr>
            <w:tcW w:w="10530" w:type="dxa"/>
          </w:tcPr>
          <w:p w14:paraId="385F5E08" w14:textId="77777777" w:rsidR="00A10F14" w:rsidRPr="00A10F14" w:rsidRDefault="00A10F14" w:rsidP="00A10F14">
            <w:pPr>
              <w:rPr>
                <w:rFonts w:cstheme="minorHAnsi"/>
                <w:sz w:val="20"/>
                <w:szCs w:val="20"/>
              </w:rPr>
            </w:pPr>
            <w:r w:rsidRPr="00A10F14">
              <w:rPr>
                <w:rFonts w:cstheme="minorHAnsi"/>
                <w:sz w:val="20"/>
                <w:szCs w:val="20"/>
              </w:rPr>
              <w:t xml:space="preserve">Anthem’s frontend system is based on what each state has decided on how to handle these sort of occurrences. If the plan is unable to find the profile, we then look for an eligible profile for the mother. The rejection response is the same as all other member rejection responses: “Subscriber and subscriber id not found. When we receive claims for the VA market, they pend for </w:t>
            </w:r>
            <w:r w:rsidRPr="00F070AF">
              <w:rPr>
                <w:rFonts w:cstheme="minorHAnsi"/>
                <w:b/>
                <w:bCs/>
                <w:sz w:val="20"/>
                <w:szCs w:val="20"/>
              </w:rPr>
              <w:t>5 days</w:t>
            </w:r>
            <w:r w:rsidRPr="00A10F14">
              <w:rPr>
                <w:rFonts w:cstheme="minorHAnsi"/>
                <w:sz w:val="20"/>
                <w:szCs w:val="20"/>
              </w:rPr>
              <w:t xml:space="preserve"> on the front end before they are rejected back to the provider.</w:t>
            </w:r>
          </w:p>
          <w:p w14:paraId="3DA73C56" w14:textId="77777777" w:rsidR="00A10F14" w:rsidRPr="00A10F14" w:rsidRDefault="00A10F14" w:rsidP="00A10F14">
            <w:pPr>
              <w:ind w:left="360"/>
              <w:rPr>
                <w:rFonts w:cstheme="minorHAnsi"/>
                <w:sz w:val="20"/>
                <w:szCs w:val="20"/>
              </w:rPr>
            </w:pPr>
          </w:p>
          <w:p w14:paraId="53C28A81" w14:textId="77777777" w:rsidR="00A10F14" w:rsidRPr="00A10F14" w:rsidRDefault="00A10F14" w:rsidP="00A10F14">
            <w:pPr>
              <w:rPr>
                <w:rFonts w:cstheme="minorHAnsi"/>
                <w:sz w:val="20"/>
                <w:szCs w:val="20"/>
              </w:rPr>
            </w:pPr>
            <w:r w:rsidRPr="00A10F14">
              <w:rPr>
                <w:rFonts w:cstheme="minorHAnsi"/>
                <w:sz w:val="20"/>
                <w:szCs w:val="20"/>
              </w:rPr>
              <w:t xml:space="preserve">During the </w:t>
            </w:r>
            <w:r w:rsidRPr="00F070AF">
              <w:rPr>
                <w:rFonts w:cstheme="minorHAnsi"/>
                <w:b/>
                <w:bCs/>
                <w:sz w:val="20"/>
                <w:szCs w:val="20"/>
              </w:rPr>
              <w:t>5 day</w:t>
            </w:r>
            <w:r w:rsidRPr="00A10F14">
              <w:rPr>
                <w:rFonts w:cstheme="minorHAnsi"/>
                <w:sz w:val="20"/>
                <w:szCs w:val="20"/>
              </w:rPr>
              <w:t xml:space="preserve"> period,</w:t>
            </w:r>
            <w:r w:rsidRPr="00A10F14">
              <w:rPr>
                <w:rFonts w:cstheme="minorHAnsi"/>
                <w:b/>
                <w:sz w:val="20"/>
                <w:szCs w:val="20"/>
              </w:rPr>
              <w:t xml:space="preserve"> </w:t>
            </w:r>
            <w:r w:rsidRPr="00A10F14">
              <w:rPr>
                <w:rFonts w:cstheme="minorHAnsi"/>
                <w:sz w:val="20"/>
                <w:szCs w:val="20"/>
              </w:rPr>
              <w:t xml:space="preserve">Anthem maps EI members based on what comes on the 834, or unless a specific request is placed. We then manually update the plan based off DMAS guidance (834). The EI indicator comes only on the 834 and it does not come on any other supplemental file.  That </w:t>
            </w:r>
            <w:r w:rsidRPr="00F070AF">
              <w:rPr>
                <w:rFonts w:cstheme="minorHAnsi"/>
                <w:b/>
                <w:bCs/>
                <w:sz w:val="20"/>
                <w:szCs w:val="20"/>
              </w:rPr>
              <w:t>5 day</w:t>
            </w:r>
            <w:r w:rsidRPr="00A10F14">
              <w:rPr>
                <w:rFonts w:cstheme="minorHAnsi"/>
                <w:sz w:val="20"/>
                <w:szCs w:val="20"/>
              </w:rPr>
              <w:t xml:space="preserve"> period is a grace period to see if any specific request are received from enrollment.  </w:t>
            </w:r>
          </w:p>
        </w:tc>
      </w:tr>
      <w:tr w:rsidR="00A10F14" w:rsidRPr="00A10F14" w14:paraId="25E41C30" w14:textId="77777777" w:rsidTr="00EF15B9">
        <w:tc>
          <w:tcPr>
            <w:tcW w:w="1705" w:type="dxa"/>
          </w:tcPr>
          <w:p w14:paraId="17AB8B4A" w14:textId="77777777" w:rsidR="00A10F14" w:rsidRPr="00A10F14" w:rsidRDefault="00A10F14" w:rsidP="00A10F14">
            <w:pPr>
              <w:rPr>
                <w:rFonts w:cstheme="minorHAnsi"/>
                <w:sz w:val="20"/>
                <w:szCs w:val="20"/>
              </w:rPr>
            </w:pPr>
            <w:r w:rsidRPr="00A10F14">
              <w:rPr>
                <w:rFonts w:cstheme="minorHAnsi"/>
                <w:sz w:val="20"/>
                <w:szCs w:val="20"/>
              </w:rPr>
              <w:t>Care Coordination</w:t>
            </w:r>
          </w:p>
        </w:tc>
        <w:tc>
          <w:tcPr>
            <w:tcW w:w="3690" w:type="dxa"/>
          </w:tcPr>
          <w:p w14:paraId="2B0B44DD" w14:textId="77777777" w:rsidR="00A10F14" w:rsidRPr="00A10F14" w:rsidRDefault="00A10F14" w:rsidP="00A10F14">
            <w:pPr>
              <w:rPr>
                <w:rFonts w:cstheme="minorHAnsi"/>
                <w:sz w:val="20"/>
                <w:szCs w:val="20"/>
              </w:rPr>
            </w:pPr>
            <w:r w:rsidRPr="00A10F14">
              <w:rPr>
                <w:rFonts w:cstheme="minorHAnsi"/>
                <w:sz w:val="20"/>
                <w:szCs w:val="20"/>
              </w:rPr>
              <w:t>Plan care coordinators should collaborate with the EI Service Coordinator</w:t>
            </w:r>
          </w:p>
        </w:tc>
        <w:tc>
          <w:tcPr>
            <w:tcW w:w="2970" w:type="dxa"/>
          </w:tcPr>
          <w:p w14:paraId="6A5DA7DA" w14:textId="77777777" w:rsidR="00A10F14" w:rsidRPr="00A10F14" w:rsidRDefault="00A10F14" w:rsidP="00A10F14">
            <w:pPr>
              <w:numPr>
                <w:ilvl w:val="0"/>
                <w:numId w:val="6"/>
              </w:numPr>
              <w:ind w:left="216" w:hanging="216"/>
              <w:contextualSpacing/>
              <w:rPr>
                <w:rFonts w:cstheme="minorHAnsi"/>
                <w:sz w:val="20"/>
                <w:szCs w:val="20"/>
              </w:rPr>
            </w:pPr>
            <w:r w:rsidRPr="00A10F14">
              <w:rPr>
                <w:rFonts w:cstheme="minorHAnsi"/>
                <w:sz w:val="20"/>
                <w:szCs w:val="20"/>
              </w:rPr>
              <w:t>Role of the care coordinator</w:t>
            </w:r>
          </w:p>
          <w:p w14:paraId="25FD40AC" w14:textId="77777777" w:rsidR="00A10F14" w:rsidRPr="00A10F14" w:rsidRDefault="00A10F14" w:rsidP="00A10F14">
            <w:pPr>
              <w:numPr>
                <w:ilvl w:val="0"/>
                <w:numId w:val="6"/>
              </w:numPr>
              <w:ind w:left="216" w:hanging="216"/>
              <w:contextualSpacing/>
              <w:rPr>
                <w:rFonts w:cstheme="minorHAnsi"/>
                <w:sz w:val="20"/>
                <w:szCs w:val="20"/>
              </w:rPr>
            </w:pPr>
            <w:r w:rsidRPr="00A10F14">
              <w:rPr>
                <w:rFonts w:cstheme="minorHAnsi"/>
                <w:sz w:val="20"/>
                <w:szCs w:val="20"/>
              </w:rPr>
              <w:t>Process for exchanging information between care coordinator and service coordinator</w:t>
            </w:r>
          </w:p>
          <w:p w14:paraId="7FA6BE3A" w14:textId="77777777" w:rsidR="00A10F14" w:rsidRPr="00A10F14" w:rsidRDefault="00A10F14" w:rsidP="00A10F14">
            <w:pPr>
              <w:numPr>
                <w:ilvl w:val="0"/>
                <w:numId w:val="6"/>
              </w:numPr>
              <w:ind w:left="216" w:hanging="216"/>
              <w:contextualSpacing/>
              <w:rPr>
                <w:rFonts w:cstheme="minorHAnsi"/>
                <w:sz w:val="20"/>
                <w:szCs w:val="20"/>
              </w:rPr>
            </w:pPr>
            <w:r w:rsidRPr="00A10F14">
              <w:rPr>
                <w:rFonts w:cstheme="minorHAnsi"/>
                <w:sz w:val="20"/>
                <w:szCs w:val="20"/>
              </w:rPr>
              <w:t xml:space="preserve">Frequency of contact between coordinators, i.e., timeframe </w:t>
            </w:r>
            <w:r w:rsidRPr="00A10F14">
              <w:rPr>
                <w:rFonts w:cstheme="minorHAnsi"/>
                <w:sz w:val="20"/>
                <w:szCs w:val="20"/>
              </w:rPr>
              <w:lastRenderedPageBreak/>
              <w:t>for initial contact and ongoing contact</w:t>
            </w:r>
          </w:p>
        </w:tc>
        <w:tc>
          <w:tcPr>
            <w:tcW w:w="10530" w:type="dxa"/>
          </w:tcPr>
          <w:p w14:paraId="3ADCBCAB" w14:textId="77777777" w:rsidR="00A10F14" w:rsidRPr="00A10F14" w:rsidRDefault="00A10F14" w:rsidP="00A10F14">
            <w:pPr>
              <w:rPr>
                <w:rFonts w:cstheme="minorHAnsi"/>
                <w:sz w:val="20"/>
                <w:szCs w:val="20"/>
              </w:rPr>
            </w:pPr>
            <w:r w:rsidRPr="00A10F14">
              <w:rPr>
                <w:rFonts w:cstheme="minorHAnsi"/>
                <w:sz w:val="20"/>
                <w:szCs w:val="20"/>
              </w:rPr>
              <w:lastRenderedPageBreak/>
              <w:t xml:space="preserve">Role of the Case manager for the Medallion team is to reach out to members/families, assess their medical and social needs. CM can make appropriate referrals externally or to internal Social workers to assist with social needs and CM will also work with family on any medical/physical needs identified by the family. </w:t>
            </w:r>
          </w:p>
          <w:p w14:paraId="413EC0DE" w14:textId="77777777" w:rsidR="00A10F14" w:rsidRPr="00A10F14" w:rsidRDefault="00A10F14" w:rsidP="00A10F14">
            <w:pPr>
              <w:rPr>
                <w:rFonts w:cstheme="minorHAnsi"/>
                <w:sz w:val="20"/>
                <w:szCs w:val="20"/>
              </w:rPr>
            </w:pPr>
          </w:p>
          <w:p w14:paraId="1F79C8D6" w14:textId="77777777" w:rsidR="00A10F14" w:rsidRPr="00A10F14" w:rsidRDefault="00A10F14" w:rsidP="00A10F14">
            <w:pPr>
              <w:rPr>
                <w:rFonts w:cstheme="minorHAnsi"/>
                <w:sz w:val="20"/>
                <w:szCs w:val="20"/>
              </w:rPr>
            </w:pPr>
            <w:r w:rsidRPr="00A10F14">
              <w:rPr>
                <w:rFonts w:cstheme="minorHAnsi"/>
                <w:sz w:val="20"/>
                <w:szCs w:val="20"/>
              </w:rPr>
              <w:t xml:space="preserve">Case managers are assigned as needed per requests from member/family or EI Case managers. Anthem case managers work collaboratively with families as needed to have their needs met through MCO or EI. </w:t>
            </w:r>
          </w:p>
          <w:p w14:paraId="1E1A7876" w14:textId="77777777" w:rsidR="00A10F14" w:rsidRPr="00A10F14" w:rsidRDefault="00A10F14" w:rsidP="00A10F14">
            <w:pPr>
              <w:rPr>
                <w:rFonts w:cstheme="minorHAnsi"/>
                <w:sz w:val="20"/>
                <w:szCs w:val="20"/>
              </w:rPr>
            </w:pPr>
          </w:p>
          <w:p w14:paraId="788BFB9D" w14:textId="77777777" w:rsidR="00A10F14" w:rsidRPr="00A10F14" w:rsidRDefault="00A10F14" w:rsidP="00A10F14">
            <w:pPr>
              <w:rPr>
                <w:rFonts w:cstheme="minorHAnsi"/>
                <w:sz w:val="20"/>
                <w:szCs w:val="20"/>
              </w:rPr>
            </w:pPr>
            <w:r w:rsidRPr="00A10F14">
              <w:rPr>
                <w:rFonts w:cstheme="minorHAnsi"/>
                <w:sz w:val="20"/>
                <w:szCs w:val="20"/>
              </w:rPr>
              <w:lastRenderedPageBreak/>
              <w:t xml:space="preserve">Contact is made by attempting 2 telephonic outreaches and one unable to reach letter before closing out the case. A new case can be established at any time the family, provider or EI Case manager determines a need for assistance. If member’s family consents to Case management/care coordination, outreach attempts must be made at least once every 30 days and case can be closed if family becomes Unable to reach. </w:t>
            </w:r>
          </w:p>
          <w:p w14:paraId="2D40B172" w14:textId="77777777" w:rsidR="00A10F14" w:rsidRPr="00A10F14" w:rsidRDefault="00A10F14" w:rsidP="00A10F14">
            <w:pPr>
              <w:rPr>
                <w:rFonts w:cstheme="minorHAnsi"/>
                <w:b/>
                <w:sz w:val="20"/>
                <w:szCs w:val="20"/>
              </w:rPr>
            </w:pPr>
            <w:r w:rsidRPr="00A10F14">
              <w:rPr>
                <w:rFonts w:cstheme="minorHAnsi"/>
                <w:sz w:val="20"/>
                <w:szCs w:val="20"/>
              </w:rPr>
              <w:t>In addition CCC Plus will also have an EI coordinator assigned as well. The plan will respond to the SC upon receipt of the IFSP within 5 days and provide the assigned Care Coordinators name for all CCC Plus Members.</w:t>
            </w:r>
          </w:p>
        </w:tc>
      </w:tr>
      <w:tr w:rsidR="00A10F14" w:rsidRPr="00A10F14" w14:paraId="3D860E11" w14:textId="77777777" w:rsidTr="00EF15B9">
        <w:tc>
          <w:tcPr>
            <w:tcW w:w="1705" w:type="dxa"/>
          </w:tcPr>
          <w:p w14:paraId="3B1A12A3" w14:textId="77777777" w:rsidR="00A10F14" w:rsidRPr="00A10F14" w:rsidRDefault="00A10F14" w:rsidP="00A10F14">
            <w:pPr>
              <w:rPr>
                <w:rFonts w:cstheme="minorHAnsi"/>
                <w:sz w:val="20"/>
                <w:szCs w:val="20"/>
              </w:rPr>
            </w:pPr>
            <w:r w:rsidRPr="00A10F14">
              <w:rPr>
                <w:rFonts w:cstheme="minorHAnsi"/>
                <w:sz w:val="20"/>
                <w:szCs w:val="20"/>
              </w:rPr>
              <w:lastRenderedPageBreak/>
              <w:t>Interpreter and Translation Services</w:t>
            </w:r>
          </w:p>
        </w:tc>
        <w:tc>
          <w:tcPr>
            <w:tcW w:w="3690" w:type="dxa"/>
          </w:tcPr>
          <w:p w14:paraId="7249CFB4" w14:textId="77777777" w:rsidR="00A10F14" w:rsidRPr="00A10F14" w:rsidRDefault="00A10F14" w:rsidP="00A10F14">
            <w:pPr>
              <w:rPr>
                <w:rFonts w:cstheme="minorHAnsi"/>
                <w:sz w:val="20"/>
                <w:szCs w:val="20"/>
              </w:rPr>
            </w:pPr>
            <w:r w:rsidRPr="00A10F14">
              <w:rPr>
                <w:rFonts w:cstheme="minorHAnsi"/>
                <w:sz w:val="20"/>
                <w:szCs w:val="20"/>
              </w:rPr>
              <w:t>Language assistance services, including but not limited to interpreter and translation services, are available free of charge.</w:t>
            </w:r>
          </w:p>
        </w:tc>
        <w:tc>
          <w:tcPr>
            <w:tcW w:w="2970" w:type="dxa"/>
          </w:tcPr>
          <w:p w14:paraId="14B21A17" w14:textId="77777777" w:rsidR="00A10F14" w:rsidRPr="00A10F14" w:rsidRDefault="00A10F14" w:rsidP="00A10F14">
            <w:pPr>
              <w:numPr>
                <w:ilvl w:val="0"/>
                <w:numId w:val="7"/>
              </w:numPr>
              <w:ind w:left="216" w:hanging="216"/>
              <w:contextualSpacing/>
              <w:rPr>
                <w:rFonts w:cstheme="minorHAnsi"/>
                <w:sz w:val="20"/>
                <w:szCs w:val="20"/>
              </w:rPr>
            </w:pPr>
            <w:r w:rsidRPr="00A10F14">
              <w:rPr>
                <w:rFonts w:cstheme="minorHAnsi"/>
                <w:sz w:val="20"/>
                <w:szCs w:val="20"/>
              </w:rPr>
              <w:t>Process for providers, service coordinators, and/or families to access interpreter/translation services</w:t>
            </w:r>
          </w:p>
          <w:p w14:paraId="0F9F94D6" w14:textId="77777777" w:rsidR="00A10F14" w:rsidRPr="00A10F14" w:rsidRDefault="00A10F14" w:rsidP="00A10F14">
            <w:pPr>
              <w:numPr>
                <w:ilvl w:val="0"/>
                <w:numId w:val="7"/>
              </w:numPr>
              <w:ind w:left="216" w:hanging="216"/>
              <w:contextualSpacing/>
              <w:rPr>
                <w:rFonts w:cstheme="minorHAnsi"/>
                <w:sz w:val="20"/>
                <w:szCs w:val="20"/>
              </w:rPr>
            </w:pPr>
            <w:r w:rsidRPr="00A10F14">
              <w:rPr>
                <w:rFonts w:cstheme="minorHAnsi"/>
                <w:sz w:val="20"/>
                <w:szCs w:val="20"/>
              </w:rPr>
              <w:t>Timeframe for accessing interpreter/translation services</w:t>
            </w:r>
          </w:p>
        </w:tc>
        <w:tc>
          <w:tcPr>
            <w:tcW w:w="10530" w:type="dxa"/>
          </w:tcPr>
          <w:p w14:paraId="5BB85EAE" w14:textId="77777777" w:rsidR="00F070AF" w:rsidRPr="00E44E30" w:rsidRDefault="00F070AF" w:rsidP="00F070AF">
            <w:pPr>
              <w:rPr>
                <w:rFonts w:cstheme="minorHAnsi"/>
                <w:sz w:val="20"/>
                <w:szCs w:val="20"/>
              </w:rPr>
            </w:pPr>
            <w:r w:rsidRPr="00E44E30">
              <w:rPr>
                <w:rFonts w:cstheme="minorHAnsi"/>
                <w:sz w:val="20"/>
                <w:szCs w:val="20"/>
              </w:rPr>
              <w:t>For those instances when a provider cannot communicate with a member due to language barriers, interpreter services are available. Face-to-face interpreters for members needing language assistance, including American Sign language are available by placing a request up to one month in advance and no less than five</w:t>
            </w:r>
            <w:r>
              <w:rPr>
                <w:rFonts w:cstheme="minorHAnsi"/>
                <w:sz w:val="20"/>
                <w:szCs w:val="20"/>
              </w:rPr>
              <w:t xml:space="preserve"> business</w:t>
            </w:r>
            <w:r w:rsidRPr="00E44E30">
              <w:rPr>
                <w:rFonts w:cstheme="minorHAnsi"/>
                <w:sz w:val="20"/>
                <w:szCs w:val="20"/>
              </w:rPr>
              <w:t xml:space="preserve"> days before a routine visit or 24 hours prior to rendering acute services. </w:t>
            </w:r>
          </w:p>
          <w:p w14:paraId="4B152794" w14:textId="77777777" w:rsidR="00F070AF" w:rsidRPr="00E44E30" w:rsidRDefault="00F070AF" w:rsidP="00F070AF">
            <w:pPr>
              <w:rPr>
                <w:rFonts w:cstheme="minorHAnsi"/>
                <w:sz w:val="20"/>
                <w:szCs w:val="20"/>
              </w:rPr>
            </w:pPr>
          </w:p>
          <w:p w14:paraId="059C47F7" w14:textId="77777777" w:rsidR="00F070AF" w:rsidRPr="00E44E30" w:rsidRDefault="00F070AF" w:rsidP="00F070AF">
            <w:pPr>
              <w:rPr>
                <w:rFonts w:cstheme="minorHAnsi"/>
                <w:sz w:val="20"/>
                <w:szCs w:val="20"/>
              </w:rPr>
            </w:pPr>
            <w:r w:rsidRPr="00E44E30">
              <w:rPr>
                <w:rFonts w:cstheme="minorHAnsi"/>
                <w:sz w:val="20"/>
                <w:szCs w:val="20"/>
              </w:rPr>
              <w:t xml:space="preserve">Note: The 24/7 Nurse Line has access to telephone interpreter services. </w:t>
            </w:r>
          </w:p>
          <w:p w14:paraId="5781711F" w14:textId="77777777" w:rsidR="00F070AF" w:rsidRPr="00F070AF" w:rsidRDefault="00F070AF" w:rsidP="00F070AF">
            <w:pPr>
              <w:rPr>
                <w:rFonts w:cstheme="minorHAnsi"/>
                <w:sz w:val="20"/>
                <w:szCs w:val="20"/>
              </w:rPr>
            </w:pPr>
            <w:r w:rsidRPr="00E44E30">
              <w:rPr>
                <w:rFonts w:cstheme="minorHAnsi"/>
                <w:sz w:val="20"/>
                <w:szCs w:val="20"/>
              </w:rPr>
              <w:t>Providers can call 1-800-901-0020 (customer service number on the member ID card)</w:t>
            </w:r>
            <w:r>
              <w:rPr>
                <w:rFonts w:cstheme="minorHAnsi"/>
                <w:sz w:val="20"/>
                <w:szCs w:val="20"/>
              </w:rPr>
              <w:t xml:space="preserve"> </w:t>
            </w:r>
            <w:r w:rsidRPr="00F070AF">
              <w:rPr>
                <w:rFonts w:cstheme="minorHAnsi"/>
                <w:sz w:val="20"/>
                <w:szCs w:val="20"/>
              </w:rPr>
              <w:t xml:space="preserve">or </w:t>
            </w:r>
            <w:r w:rsidRPr="00F070AF">
              <w:rPr>
                <w:rFonts w:cstheme="minorHAnsi"/>
                <w:color w:val="FF0000"/>
                <w:sz w:val="20"/>
                <w:szCs w:val="20"/>
              </w:rPr>
              <w:t>Care Management at 844-533-1994 op 2 or 804-588-4521.</w:t>
            </w:r>
          </w:p>
          <w:p w14:paraId="1BDD9A6A" w14:textId="77777777" w:rsidR="00F070AF" w:rsidRPr="00F070AF" w:rsidRDefault="00F070AF" w:rsidP="00F070AF">
            <w:pPr>
              <w:rPr>
                <w:rFonts w:cstheme="minorHAnsi"/>
                <w:sz w:val="20"/>
                <w:szCs w:val="20"/>
              </w:rPr>
            </w:pPr>
            <w:r w:rsidRPr="00F070AF">
              <w:rPr>
                <w:rFonts w:cstheme="minorHAnsi"/>
                <w:sz w:val="20"/>
                <w:szCs w:val="20"/>
              </w:rPr>
              <w:t xml:space="preserve">Families needing interpreting/translation services should call 1-800-901-0020 </w:t>
            </w:r>
          </w:p>
          <w:p w14:paraId="1F799A6B" w14:textId="77777777" w:rsidR="00F070AF" w:rsidRPr="00F070AF" w:rsidRDefault="00F070AF" w:rsidP="00F070AF">
            <w:pPr>
              <w:rPr>
                <w:rFonts w:cstheme="minorHAnsi"/>
                <w:sz w:val="20"/>
                <w:szCs w:val="20"/>
              </w:rPr>
            </w:pPr>
            <w:r w:rsidRPr="00F070AF">
              <w:rPr>
                <w:rFonts w:cstheme="minorHAnsi"/>
                <w:sz w:val="20"/>
                <w:szCs w:val="20"/>
              </w:rPr>
              <w:t xml:space="preserve">Service coordinators should either coordinate services directly with care coordinators </w:t>
            </w:r>
            <w:r w:rsidRPr="00F070AF">
              <w:rPr>
                <w:rFonts w:cstheme="minorHAnsi"/>
                <w:color w:val="FF0000"/>
                <w:sz w:val="20"/>
                <w:szCs w:val="20"/>
              </w:rPr>
              <w:t xml:space="preserve">1- 800-901-0020 option 6 </w:t>
            </w:r>
            <w:r w:rsidRPr="00F070AF">
              <w:rPr>
                <w:rFonts w:cstheme="minorHAnsi"/>
                <w:sz w:val="20"/>
                <w:szCs w:val="20"/>
              </w:rPr>
              <w:t xml:space="preserve">or can also access these services for their member at </w:t>
            </w:r>
            <w:r w:rsidRPr="00F070AF">
              <w:rPr>
                <w:rFonts w:cstheme="minorHAnsi"/>
                <w:color w:val="FF0000"/>
                <w:sz w:val="20"/>
                <w:szCs w:val="20"/>
              </w:rPr>
              <w:t>1-844-533-1994 op 2.</w:t>
            </w:r>
          </w:p>
          <w:p w14:paraId="1725C068" w14:textId="77777777" w:rsidR="00F070AF" w:rsidRPr="00F070AF" w:rsidRDefault="00F070AF" w:rsidP="00F070AF">
            <w:pPr>
              <w:rPr>
                <w:rFonts w:cstheme="minorHAnsi"/>
                <w:sz w:val="20"/>
                <w:szCs w:val="20"/>
              </w:rPr>
            </w:pPr>
            <w:r w:rsidRPr="00F070AF">
              <w:rPr>
                <w:rFonts w:cstheme="minorHAnsi"/>
                <w:sz w:val="20"/>
                <w:szCs w:val="20"/>
              </w:rPr>
              <w:t>Anthems third party interpreter vendor recruits qualified staff and contract interpreters experienced in working in healthcare settings. Our vendor selects only the best available interpreters in the marketplace. Staff and contract interpreter competencies are documented in the interpreter’s file and are made available to Anthem upon request.</w:t>
            </w:r>
          </w:p>
          <w:p w14:paraId="1E531ED7" w14:textId="77777777" w:rsidR="00F070AF" w:rsidRPr="00F070AF" w:rsidRDefault="00F070AF" w:rsidP="00F070AF">
            <w:pPr>
              <w:rPr>
                <w:rFonts w:cstheme="minorHAnsi"/>
                <w:b/>
                <w:sz w:val="20"/>
                <w:szCs w:val="20"/>
                <w:u w:val="single"/>
              </w:rPr>
            </w:pPr>
          </w:p>
          <w:p w14:paraId="75D2D566" w14:textId="77777777" w:rsidR="00F070AF" w:rsidRPr="00F070AF" w:rsidRDefault="00F070AF" w:rsidP="00F070AF">
            <w:pPr>
              <w:rPr>
                <w:rFonts w:cstheme="minorHAnsi"/>
                <w:sz w:val="20"/>
                <w:szCs w:val="20"/>
              </w:rPr>
            </w:pPr>
            <w:r w:rsidRPr="00F070AF">
              <w:rPr>
                <w:rFonts w:cstheme="minorHAnsi"/>
                <w:b/>
                <w:sz w:val="20"/>
                <w:szCs w:val="20"/>
                <w:u w:val="single"/>
              </w:rPr>
              <w:t>Credentialing process consist of</w:t>
            </w:r>
            <w:r w:rsidRPr="00F070AF">
              <w:rPr>
                <w:rFonts w:cstheme="minorHAnsi"/>
                <w:sz w:val="20"/>
                <w:szCs w:val="20"/>
              </w:rPr>
              <w:t>:</w:t>
            </w:r>
          </w:p>
          <w:p w14:paraId="3451AC35" w14:textId="77777777" w:rsidR="00F070AF" w:rsidRPr="00F070AF" w:rsidRDefault="00F070AF" w:rsidP="00F070AF">
            <w:pPr>
              <w:rPr>
                <w:rFonts w:cstheme="minorHAnsi"/>
                <w:sz w:val="20"/>
                <w:szCs w:val="20"/>
              </w:rPr>
            </w:pPr>
            <w:r w:rsidRPr="00F070AF">
              <w:rPr>
                <w:rFonts w:cstheme="minorHAnsi"/>
                <w:sz w:val="20"/>
                <w:szCs w:val="20"/>
              </w:rPr>
              <w:t xml:space="preserve">Interviews </w:t>
            </w:r>
          </w:p>
          <w:p w14:paraId="3C48345D" w14:textId="77777777" w:rsidR="00F070AF" w:rsidRPr="00F070AF" w:rsidRDefault="00F070AF" w:rsidP="00F070AF">
            <w:pPr>
              <w:rPr>
                <w:rFonts w:cstheme="minorHAnsi"/>
                <w:sz w:val="20"/>
                <w:szCs w:val="20"/>
              </w:rPr>
            </w:pPr>
            <w:r w:rsidRPr="00F070AF">
              <w:rPr>
                <w:rFonts w:cstheme="minorHAnsi"/>
                <w:sz w:val="20"/>
                <w:szCs w:val="20"/>
              </w:rPr>
              <w:t xml:space="preserve">Language </w:t>
            </w:r>
          </w:p>
          <w:p w14:paraId="390D95B9" w14:textId="77777777" w:rsidR="00F070AF" w:rsidRPr="00F070AF" w:rsidRDefault="00F070AF" w:rsidP="00F070AF">
            <w:pPr>
              <w:rPr>
                <w:rFonts w:cstheme="minorHAnsi"/>
                <w:sz w:val="20"/>
                <w:szCs w:val="20"/>
              </w:rPr>
            </w:pPr>
            <w:r w:rsidRPr="00F070AF">
              <w:rPr>
                <w:rFonts w:cstheme="minorHAnsi"/>
                <w:sz w:val="20"/>
                <w:szCs w:val="20"/>
              </w:rPr>
              <w:t xml:space="preserve">Proficiency Testing, </w:t>
            </w:r>
          </w:p>
          <w:p w14:paraId="5935AE0D" w14:textId="77777777" w:rsidR="00F070AF" w:rsidRPr="00F070AF" w:rsidRDefault="00F070AF" w:rsidP="00F070AF">
            <w:pPr>
              <w:rPr>
                <w:rFonts w:cstheme="minorHAnsi"/>
                <w:sz w:val="20"/>
                <w:szCs w:val="20"/>
              </w:rPr>
            </w:pPr>
            <w:r w:rsidRPr="00F070AF">
              <w:rPr>
                <w:rFonts w:cstheme="minorHAnsi"/>
                <w:sz w:val="20"/>
                <w:szCs w:val="20"/>
              </w:rPr>
              <w:t>Health History (for Onsite interpreters)</w:t>
            </w:r>
          </w:p>
          <w:p w14:paraId="7B630C60" w14:textId="77777777" w:rsidR="00F070AF" w:rsidRPr="00F070AF" w:rsidRDefault="00F070AF" w:rsidP="00F070AF">
            <w:pPr>
              <w:rPr>
                <w:rFonts w:cstheme="minorHAnsi"/>
                <w:sz w:val="20"/>
                <w:szCs w:val="20"/>
              </w:rPr>
            </w:pPr>
            <w:r w:rsidRPr="00F070AF">
              <w:rPr>
                <w:rFonts w:cstheme="minorHAnsi"/>
                <w:sz w:val="20"/>
                <w:szCs w:val="20"/>
              </w:rPr>
              <w:t>Background Check and Credential Verifications</w:t>
            </w:r>
          </w:p>
          <w:p w14:paraId="21DEAF0B" w14:textId="77777777" w:rsidR="00F070AF" w:rsidRPr="00F070AF" w:rsidRDefault="00F070AF" w:rsidP="00F070AF">
            <w:pPr>
              <w:rPr>
                <w:rFonts w:cstheme="minorHAnsi"/>
                <w:sz w:val="20"/>
                <w:szCs w:val="20"/>
              </w:rPr>
            </w:pPr>
            <w:r w:rsidRPr="00F070AF">
              <w:rPr>
                <w:rFonts w:cstheme="minorHAnsi"/>
                <w:sz w:val="20"/>
                <w:szCs w:val="20"/>
              </w:rPr>
              <w:t>Qualification Verifications</w:t>
            </w:r>
          </w:p>
          <w:p w14:paraId="76EE0FAF" w14:textId="77777777" w:rsidR="00F070AF" w:rsidRPr="00F070AF" w:rsidRDefault="00F070AF" w:rsidP="00F070AF">
            <w:pPr>
              <w:rPr>
                <w:rFonts w:cstheme="minorHAnsi"/>
                <w:sz w:val="20"/>
                <w:szCs w:val="20"/>
              </w:rPr>
            </w:pPr>
            <w:r w:rsidRPr="00F070AF">
              <w:rPr>
                <w:rFonts w:cstheme="minorHAnsi"/>
                <w:sz w:val="20"/>
                <w:szCs w:val="20"/>
              </w:rPr>
              <w:t>Training Program</w:t>
            </w:r>
          </w:p>
          <w:p w14:paraId="25DCB2D9" w14:textId="77777777" w:rsidR="00F070AF" w:rsidRPr="00F070AF" w:rsidRDefault="00F070AF" w:rsidP="00F070AF">
            <w:pPr>
              <w:rPr>
                <w:rFonts w:cstheme="minorHAnsi"/>
                <w:sz w:val="20"/>
                <w:szCs w:val="20"/>
              </w:rPr>
            </w:pPr>
          </w:p>
          <w:p w14:paraId="1EC5F57E" w14:textId="77777777" w:rsidR="00F070AF" w:rsidRPr="00F070AF" w:rsidRDefault="00F070AF" w:rsidP="00F070AF">
            <w:pPr>
              <w:rPr>
                <w:rFonts w:cstheme="minorHAnsi"/>
                <w:sz w:val="19"/>
                <w:szCs w:val="19"/>
                <w:u w:val="single"/>
              </w:rPr>
            </w:pPr>
            <w:r w:rsidRPr="00F070AF">
              <w:rPr>
                <w:rFonts w:cstheme="minorHAnsi"/>
                <w:sz w:val="19"/>
                <w:szCs w:val="19"/>
                <w:u w:val="single"/>
              </w:rPr>
              <w:t>Interpreter Services</w:t>
            </w:r>
          </w:p>
          <w:p w14:paraId="2B67A144" w14:textId="77777777" w:rsidR="00F070AF" w:rsidRPr="00F070AF" w:rsidRDefault="00F070AF" w:rsidP="00F070AF">
            <w:pPr>
              <w:rPr>
                <w:rFonts w:cstheme="minorHAnsi"/>
                <w:color w:val="FF0000"/>
                <w:sz w:val="19"/>
                <w:szCs w:val="19"/>
              </w:rPr>
            </w:pPr>
            <w:r w:rsidRPr="00F070AF">
              <w:rPr>
                <w:rFonts w:cstheme="minorHAnsi"/>
                <w:sz w:val="19"/>
                <w:szCs w:val="19"/>
              </w:rPr>
              <w:t xml:space="preserve">Families/Serv Coordinators: </w:t>
            </w:r>
            <w:r w:rsidRPr="00F070AF">
              <w:rPr>
                <w:rFonts w:cstheme="minorHAnsi"/>
                <w:color w:val="FF0000"/>
                <w:sz w:val="19"/>
                <w:szCs w:val="19"/>
              </w:rPr>
              <w:t>1-800-901-0020 option 6</w:t>
            </w:r>
          </w:p>
          <w:p w14:paraId="3EA43B5C" w14:textId="41A273E9" w:rsidR="00A10F14" w:rsidRPr="00A10F14" w:rsidRDefault="00F070AF" w:rsidP="00F070AF">
            <w:pPr>
              <w:rPr>
                <w:rFonts w:cstheme="minorHAnsi"/>
                <w:sz w:val="20"/>
                <w:szCs w:val="20"/>
              </w:rPr>
            </w:pPr>
            <w:r w:rsidRPr="00F070AF">
              <w:rPr>
                <w:rFonts w:cstheme="minorHAnsi"/>
                <w:sz w:val="19"/>
                <w:szCs w:val="19"/>
              </w:rPr>
              <w:t>Serv. Coordination w/ Care Coordination:</w:t>
            </w:r>
            <w:r w:rsidRPr="00F070AF">
              <w:rPr>
                <w:rFonts w:cstheme="minorHAnsi"/>
                <w:color w:val="FF0000"/>
                <w:sz w:val="19"/>
                <w:szCs w:val="19"/>
              </w:rPr>
              <w:t xml:space="preserve"> </w:t>
            </w:r>
            <w:r w:rsidRPr="00F070AF">
              <w:rPr>
                <w:color w:val="FF0000"/>
                <w:sz w:val="19"/>
                <w:szCs w:val="19"/>
              </w:rPr>
              <w:t>1-844-533-1994 op 2 or 804-588-4521</w:t>
            </w:r>
          </w:p>
        </w:tc>
      </w:tr>
      <w:tr w:rsidR="00A10F14" w:rsidRPr="00A10F14" w14:paraId="0582E8FA" w14:textId="77777777" w:rsidTr="00EF15B9">
        <w:tc>
          <w:tcPr>
            <w:tcW w:w="1705" w:type="dxa"/>
          </w:tcPr>
          <w:p w14:paraId="5AD66D41" w14:textId="77777777" w:rsidR="00A10F14" w:rsidRPr="00A10F14" w:rsidRDefault="00A10F14" w:rsidP="00A10F14">
            <w:pPr>
              <w:rPr>
                <w:rFonts w:cstheme="minorHAnsi"/>
                <w:sz w:val="20"/>
                <w:szCs w:val="20"/>
              </w:rPr>
            </w:pPr>
            <w:r w:rsidRPr="00A10F14">
              <w:rPr>
                <w:rFonts w:cstheme="minorHAnsi"/>
                <w:sz w:val="20"/>
                <w:szCs w:val="20"/>
              </w:rPr>
              <w:t>EI Specific Email Box</w:t>
            </w:r>
          </w:p>
        </w:tc>
        <w:tc>
          <w:tcPr>
            <w:tcW w:w="3690" w:type="dxa"/>
          </w:tcPr>
          <w:p w14:paraId="6F2A3099" w14:textId="77777777" w:rsidR="00A10F14" w:rsidRPr="00A10F14" w:rsidRDefault="00A10F14" w:rsidP="00A10F14">
            <w:pPr>
              <w:rPr>
                <w:rFonts w:cstheme="minorHAnsi"/>
                <w:sz w:val="20"/>
                <w:szCs w:val="20"/>
              </w:rPr>
            </w:pPr>
            <w:r w:rsidRPr="00A10F14">
              <w:rPr>
                <w:rFonts w:cstheme="minorHAnsi"/>
                <w:sz w:val="20"/>
                <w:szCs w:val="20"/>
              </w:rPr>
              <w:t>Specific email contacts for submission of IFSPs, Decline to Bill Forms, etc.</w:t>
            </w:r>
          </w:p>
        </w:tc>
        <w:tc>
          <w:tcPr>
            <w:tcW w:w="2970" w:type="dxa"/>
          </w:tcPr>
          <w:p w14:paraId="4097638E" w14:textId="77777777" w:rsidR="00A10F14" w:rsidRPr="00A10F14" w:rsidRDefault="00A10F14" w:rsidP="00A10F14">
            <w:pPr>
              <w:numPr>
                <w:ilvl w:val="0"/>
                <w:numId w:val="8"/>
              </w:numPr>
              <w:ind w:left="216" w:hanging="216"/>
              <w:contextualSpacing/>
              <w:rPr>
                <w:rFonts w:cstheme="minorHAnsi"/>
                <w:sz w:val="20"/>
                <w:szCs w:val="20"/>
              </w:rPr>
            </w:pPr>
            <w:r w:rsidRPr="00A10F14">
              <w:rPr>
                <w:rFonts w:cstheme="minorHAnsi"/>
                <w:sz w:val="20"/>
                <w:szCs w:val="20"/>
              </w:rPr>
              <w:t>List specific email address</w:t>
            </w:r>
          </w:p>
        </w:tc>
        <w:tc>
          <w:tcPr>
            <w:tcW w:w="10530" w:type="dxa"/>
          </w:tcPr>
          <w:p w14:paraId="0AD30FBD" w14:textId="77777777" w:rsidR="00A10F14" w:rsidRPr="00A10F14" w:rsidRDefault="00A10F14" w:rsidP="00A10F14">
            <w:pPr>
              <w:rPr>
                <w:rFonts w:cstheme="minorHAnsi"/>
                <w:b/>
                <w:sz w:val="20"/>
                <w:szCs w:val="20"/>
              </w:rPr>
            </w:pPr>
            <w:r w:rsidRPr="00A10F14">
              <w:rPr>
                <w:rFonts w:cstheme="minorHAnsi"/>
                <w:sz w:val="20"/>
                <w:szCs w:val="20"/>
              </w:rPr>
              <w:t xml:space="preserve">Currently, there is an existing email mailbox designated to receive IFSPs. </w:t>
            </w:r>
            <w:hyperlink r:id="rId20" w:history="1">
              <w:r w:rsidRPr="00A10F14">
                <w:rPr>
                  <w:rFonts w:cstheme="minorHAnsi"/>
                  <w:b/>
                  <w:color w:val="0000FF"/>
                  <w:sz w:val="20"/>
                  <w:szCs w:val="20"/>
                  <w:u w:val="single"/>
                </w:rPr>
                <w:t>EarlyInterventionServicesSupport@anthem.com</w:t>
              </w:r>
            </w:hyperlink>
          </w:p>
          <w:p w14:paraId="61794CC4" w14:textId="70F17705" w:rsidR="00A10F14" w:rsidRPr="00A10F14" w:rsidRDefault="00A10F14" w:rsidP="00A10F14">
            <w:pPr>
              <w:rPr>
                <w:rFonts w:cstheme="minorHAnsi"/>
                <w:sz w:val="20"/>
                <w:szCs w:val="20"/>
              </w:rPr>
            </w:pPr>
            <w:r w:rsidRPr="00A10F14">
              <w:rPr>
                <w:rFonts w:cstheme="minorHAnsi"/>
                <w:sz w:val="20"/>
                <w:szCs w:val="20"/>
              </w:rPr>
              <w:t xml:space="preserve">  </w:t>
            </w:r>
          </w:p>
        </w:tc>
      </w:tr>
    </w:tbl>
    <w:p w14:paraId="01530D6F" w14:textId="77777777" w:rsidR="00FD7593" w:rsidRPr="00A10F14" w:rsidRDefault="00FD7593" w:rsidP="00A10F14">
      <w:pPr>
        <w:rPr>
          <w:rFonts w:cstheme="minorHAnsi"/>
        </w:rPr>
      </w:pPr>
    </w:p>
    <w:p w14:paraId="0EF51D50" w14:textId="77777777" w:rsidR="00A10F14" w:rsidRPr="00A10F14" w:rsidRDefault="00A10F14" w:rsidP="00A10F14">
      <w:r w:rsidRPr="00A10F14">
        <w:rPr>
          <w:b/>
          <w:noProof/>
          <w:sz w:val="19"/>
          <w:szCs w:val="19"/>
        </w:rPr>
        <w:lastRenderedPageBreak/>
        <w:drawing>
          <wp:inline distT="0" distB="0" distL="0" distR="0" wp14:anchorId="57EC1FAD" wp14:editId="18880D49">
            <wp:extent cx="1193800" cy="538355"/>
            <wp:effectExtent l="0" t="0" r="6350" b="0"/>
            <wp:docPr id="3" name="Picture 3" descr="C:\Users\mxq82859\Desktop\DESKTOP ITEMS\DMAS Logos\Molina Complete C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xq82859\Desktop\DESKTOP ITEMS\DMAS Logos\Molina Complete Care Log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606" cy="555404"/>
                    </a:xfrm>
                    <a:prstGeom prst="rect">
                      <a:avLst/>
                    </a:prstGeom>
                    <a:noFill/>
                    <a:ln>
                      <a:noFill/>
                    </a:ln>
                  </pic:spPr>
                </pic:pic>
              </a:graphicData>
            </a:graphic>
          </wp:inline>
        </w:drawing>
      </w:r>
    </w:p>
    <w:tbl>
      <w:tblPr>
        <w:tblStyle w:val="TableGrid"/>
        <w:tblW w:w="18895" w:type="dxa"/>
        <w:tblLook w:val="04A0" w:firstRow="1" w:lastRow="0" w:firstColumn="1" w:lastColumn="0" w:noHBand="0" w:noVBand="1"/>
      </w:tblPr>
      <w:tblGrid>
        <w:gridCol w:w="1705"/>
        <w:gridCol w:w="3330"/>
        <w:gridCol w:w="3330"/>
        <w:gridCol w:w="10530"/>
      </w:tblGrid>
      <w:tr w:rsidR="00A10F14" w:rsidRPr="00A10F14" w14:paraId="3BFA6ECF" w14:textId="77777777" w:rsidTr="00EF15B9">
        <w:trPr>
          <w:tblHeader/>
        </w:trPr>
        <w:tc>
          <w:tcPr>
            <w:tcW w:w="1705" w:type="dxa"/>
            <w:shd w:val="clear" w:color="auto" w:fill="0099CC"/>
          </w:tcPr>
          <w:p w14:paraId="6C724ED1" w14:textId="77777777" w:rsidR="00A10F14" w:rsidRPr="00A10F14" w:rsidRDefault="00A10F14" w:rsidP="00A10F14">
            <w:pPr>
              <w:jc w:val="center"/>
              <w:rPr>
                <w:b/>
              </w:rPr>
            </w:pPr>
            <w:r w:rsidRPr="00A10F14">
              <w:rPr>
                <w:b/>
              </w:rPr>
              <w:t>TOPIC</w:t>
            </w:r>
          </w:p>
        </w:tc>
        <w:tc>
          <w:tcPr>
            <w:tcW w:w="3330" w:type="dxa"/>
            <w:shd w:val="clear" w:color="auto" w:fill="0099CC"/>
          </w:tcPr>
          <w:p w14:paraId="78469013" w14:textId="77777777" w:rsidR="00A10F14" w:rsidRPr="00A10F14" w:rsidRDefault="00A10F14" w:rsidP="00A10F14">
            <w:pPr>
              <w:jc w:val="center"/>
              <w:rPr>
                <w:b/>
              </w:rPr>
            </w:pPr>
            <w:r w:rsidRPr="00A10F14">
              <w:rPr>
                <w:b/>
              </w:rPr>
              <w:t>DESCRIPTION</w:t>
            </w:r>
          </w:p>
        </w:tc>
        <w:tc>
          <w:tcPr>
            <w:tcW w:w="3330" w:type="dxa"/>
            <w:shd w:val="clear" w:color="auto" w:fill="0099CC"/>
          </w:tcPr>
          <w:p w14:paraId="46121553" w14:textId="77777777" w:rsidR="00A10F14" w:rsidRPr="00A10F14" w:rsidRDefault="00A10F14" w:rsidP="00A10F14">
            <w:pPr>
              <w:jc w:val="center"/>
              <w:rPr>
                <w:b/>
              </w:rPr>
            </w:pPr>
            <w:r w:rsidRPr="00A10F14">
              <w:rPr>
                <w:b/>
              </w:rPr>
              <w:t>MCO PROCESS</w:t>
            </w:r>
          </w:p>
        </w:tc>
        <w:tc>
          <w:tcPr>
            <w:tcW w:w="10530" w:type="dxa"/>
            <w:shd w:val="clear" w:color="auto" w:fill="0099CC"/>
          </w:tcPr>
          <w:p w14:paraId="3EC8E4B3" w14:textId="77777777" w:rsidR="00A10F14" w:rsidRPr="00A10F14" w:rsidRDefault="00A10F14" w:rsidP="00A10F14">
            <w:pPr>
              <w:jc w:val="center"/>
            </w:pPr>
            <w:r w:rsidRPr="00A10F14">
              <w:t>MCO RESPONSE</w:t>
            </w:r>
          </w:p>
        </w:tc>
      </w:tr>
      <w:tr w:rsidR="00A10F14" w:rsidRPr="00A10F14" w14:paraId="27874E14" w14:textId="77777777" w:rsidTr="00EF15B9">
        <w:trPr>
          <w:tblHeader/>
        </w:trPr>
        <w:tc>
          <w:tcPr>
            <w:tcW w:w="1705" w:type="dxa"/>
            <w:shd w:val="clear" w:color="auto" w:fill="0099CC"/>
          </w:tcPr>
          <w:p w14:paraId="1179D57E" w14:textId="77777777" w:rsidR="00A10F14" w:rsidRPr="00A10F14" w:rsidRDefault="00A10F14" w:rsidP="00A10F14">
            <w:pPr>
              <w:jc w:val="center"/>
              <w:rPr>
                <w:b/>
              </w:rPr>
            </w:pPr>
          </w:p>
        </w:tc>
        <w:tc>
          <w:tcPr>
            <w:tcW w:w="3330" w:type="dxa"/>
            <w:shd w:val="clear" w:color="auto" w:fill="0099CC"/>
          </w:tcPr>
          <w:p w14:paraId="09FFF188" w14:textId="77777777" w:rsidR="00A10F14" w:rsidRPr="00A10F14" w:rsidRDefault="00A10F14" w:rsidP="00A10F14">
            <w:pPr>
              <w:jc w:val="center"/>
              <w:rPr>
                <w:b/>
              </w:rPr>
            </w:pPr>
          </w:p>
        </w:tc>
        <w:tc>
          <w:tcPr>
            <w:tcW w:w="3330" w:type="dxa"/>
            <w:shd w:val="clear" w:color="auto" w:fill="0099CC"/>
          </w:tcPr>
          <w:p w14:paraId="3AE1AF12" w14:textId="77777777" w:rsidR="00A10F14" w:rsidRPr="00A10F14" w:rsidRDefault="00A10F14" w:rsidP="00A10F14">
            <w:pPr>
              <w:jc w:val="center"/>
              <w:rPr>
                <w:b/>
              </w:rPr>
            </w:pPr>
            <w:r w:rsidRPr="00A10F14">
              <w:rPr>
                <w:b/>
              </w:rPr>
              <w:t>MCOs shall provide a brief description for each point within the topic area</w:t>
            </w:r>
          </w:p>
        </w:tc>
        <w:tc>
          <w:tcPr>
            <w:tcW w:w="10530" w:type="dxa"/>
            <w:shd w:val="clear" w:color="auto" w:fill="0099CC"/>
          </w:tcPr>
          <w:p w14:paraId="7F061602" w14:textId="77777777" w:rsidR="00A10F14" w:rsidRPr="00A10F14" w:rsidRDefault="00A10F14" w:rsidP="00A10F14">
            <w:pPr>
              <w:jc w:val="center"/>
            </w:pPr>
          </w:p>
        </w:tc>
      </w:tr>
      <w:tr w:rsidR="00A10F14" w:rsidRPr="00A10F14" w14:paraId="724DFA65" w14:textId="77777777" w:rsidTr="00EF15B9">
        <w:tc>
          <w:tcPr>
            <w:tcW w:w="1705" w:type="dxa"/>
          </w:tcPr>
          <w:p w14:paraId="0CCB18C8" w14:textId="77777777" w:rsidR="00A10F14" w:rsidRPr="00A10F14" w:rsidRDefault="00A10F14" w:rsidP="00A10F14">
            <w:pPr>
              <w:rPr>
                <w:rFonts w:cstheme="minorHAnsi"/>
              </w:rPr>
            </w:pPr>
            <w:r w:rsidRPr="00A10F14">
              <w:rPr>
                <w:rFonts w:cstheme="minorHAnsi"/>
              </w:rPr>
              <w:t>MCO Credentialing and Contracting</w:t>
            </w:r>
          </w:p>
        </w:tc>
        <w:tc>
          <w:tcPr>
            <w:tcW w:w="3330" w:type="dxa"/>
          </w:tcPr>
          <w:p w14:paraId="66825704" w14:textId="77777777" w:rsidR="00A10F14" w:rsidRPr="00A10F14" w:rsidRDefault="00A10F14" w:rsidP="00A10F14">
            <w:pPr>
              <w:rPr>
                <w:rFonts w:cstheme="minorHAnsi"/>
              </w:rPr>
            </w:pPr>
            <w:r w:rsidRPr="00A10F14">
              <w:rPr>
                <w:rFonts w:eastAsia="Times New Roman" w:cstheme="minorHAnsi"/>
                <w:color w:val="000000"/>
                <w:sz w:val="20"/>
                <w:szCs w:val="20"/>
              </w:rPr>
              <w:t xml:space="preserve">All EI providers must be credentialed and contracted by each MCO in order to provide services to members enrolled with the MCO.             </w:t>
            </w:r>
            <w:r w:rsidRPr="00A10F14">
              <w:rPr>
                <w:rFonts w:eastAsia="Times New Roman" w:cstheme="minorHAnsi"/>
                <w:color w:val="000000"/>
                <w:sz w:val="20"/>
                <w:szCs w:val="20"/>
              </w:rPr>
              <w:br/>
            </w:r>
            <w:r w:rsidRPr="00A10F14">
              <w:rPr>
                <w:rFonts w:eastAsia="Times New Roman" w:cstheme="minorHAnsi"/>
                <w:color w:val="000000"/>
                <w:sz w:val="20"/>
                <w:szCs w:val="20"/>
              </w:rPr>
              <w:br/>
              <w:t>All EI providers must be certified by DBHDS and affiliated with a LLA prior to the MCO credentialing and contracting process.</w:t>
            </w:r>
            <w:r w:rsidRPr="00A10F14">
              <w:rPr>
                <w:rFonts w:eastAsia="Times New Roman" w:cstheme="minorHAnsi"/>
                <w:color w:val="000000"/>
                <w:sz w:val="20"/>
                <w:szCs w:val="20"/>
              </w:rPr>
              <w:br/>
            </w:r>
          </w:p>
        </w:tc>
        <w:tc>
          <w:tcPr>
            <w:tcW w:w="3330" w:type="dxa"/>
          </w:tcPr>
          <w:p w14:paraId="315134A8"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Credentialing process</w:t>
            </w:r>
          </w:p>
          <w:p w14:paraId="135DE2B5"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CAQH process</w:t>
            </w:r>
          </w:p>
          <w:p w14:paraId="13CEECC8"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Contracting process</w:t>
            </w:r>
          </w:p>
          <w:p w14:paraId="045E82E3"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Credentialing and contracting educators and other non-traditional disciplines</w:t>
            </w:r>
          </w:p>
          <w:p w14:paraId="38CFE3DB"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Credentialing and contracting service coordinators</w:t>
            </w:r>
          </w:p>
          <w:p w14:paraId="1A65148A" w14:textId="77777777" w:rsidR="00A10F14" w:rsidRPr="00A10F14" w:rsidRDefault="00A10F14" w:rsidP="00A10F14">
            <w:pPr>
              <w:numPr>
                <w:ilvl w:val="0"/>
                <w:numId w:val="2"/>
              </w:numPr>
              <w:ind w:left="216" w:hanging="216"/>
              <w:contextualSpacing/>
              <w:rPr>
                <w:rFonts w:eastAsia="Times New Roman" w:cstheme="minorHAnsi"/>
                <w:color w:val="000000"/>
                <w:sz w:val="20"/>
                <w:szCs w:val="20"/>
              </w:rPr>
            </w:pPr>
            <w:r w:rsidRPr="00A10F14">
              <w:rPr>
                <w:rFonts w:eastAsia="Times New Roman" w:cstheme="minorHAnsi"/>
                <w:color w:val="000000"/>
                <w:sz w:val="20"/>
                <w:szCs w:val="20"/>
              </w:rPr>
              <w:t>Handling of out-of-network providers</w:t>
            </w:r>
          </w:p>
        </w:tc>
        <w:tc>
          <w:tcPr>
            <w:tcW w:w="10530" w:type="dxa"/>
          </w:tcPr>
          <w:p w14:paraId="32D1ACA7" w14:textId="243CF002"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 xml:space="preserve">Onboarding/Credentialing Process- All EI providers are required to complete a Provider Information Form to be part of the Participating Provider Network for such services. Upon receipt of the Provider Information Form or roster, and contingent on initiation/existence of contract, MCC Network staff requests credentialing. MCC utilizes the CAQH Universal Practitioner Application in order to ease provider administrative burden and streamline the credentialing process. Once requested, </w:t>
            </w:r>
            <w:r w:rsidR="007A2233" w:rsidRPr="00A10F14">
              <w:rPr>
                <w:rFonts w:eastAsia="Times New Roman" w:cstheme="minorHAnsi"/>
                <w:color w:val="000000"/>
                <w:sz w:val="20"/>
                <w:szCs w:val="20"/>
              </w:rPr>
              <w:t>Molina’s</w:t>
            </w:r>
            <w:r w:rsidRPr="00A10F14">
              <w:rPr>
                <w:rFonts w:eastAsia="Times New Roman" w:cstheme="minorHAnsi"/>
                <w:color w:val="000000"/>
                <w:sz w:val="20"/>
                <w:szCs w:val="20"/>
              </w:rPr>
              <w:t xml:space="preserve"> NCQA Accredited Credentialing Department access the provider’s CAQH application (or paper application for those providers who will not utilize CAQH) and starts the Primary Source Verification (PSV) process. Molina’s PSV process complies with NCQA, CMS, DMAS and Virginia State requirements. Molina confirms, through primary and secondary source verification that the providers meet all relevant requirements. Providers are considered by MCC Virginia’s Credentialing Committee. Notification of committee decision is sent to providers within 60 days. Notification of denials includes the reason for denial and details the provider’s appeal rights and process. Network providers are recredentialed no less frequently than every 36 months, in accordance with NCQA and DMAS requirements.  </w:t>
            </w:r>
          </w:p>
          <w:p w14:paraId="30D95730" w14:textId="77777777"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Contracting Process- Once credentialing has been approved, MCC of VA will send contract documents to the provider reflecting negotiated reimbursement rates.  The provider signs and returns the contract, which MCC of VA countersigns to execute.  Process from submission of application to being contracted is approximately 60-90 days.</w:t>
            </w:r>
          </w:p>
          <w:p w14:paraId="645FC50D" w14:textId="77777777" w:rsidR="007A2233" w:rsidRPr="007A2233" w:rsidRDefault="00A10F14" w:rsidP="007A2233">
            <w:r w:rsidRPr="00A10F14">
              <w:rPr>
                <w:rFonts w:cstheme="minorHAnsi"/>
                <w:sz w:val="20"/>
                <w:szCs w:val="20"/>
              </w:rPr>
              <w:t>Link to applications and forms</w:t>
            </w:r>
            <w:r w:rsidRPr="00A10F14">
              <w:rPr>
                <w:rFonts w:cstheme="minorHAnsi"/>
              </w:rPr>
              <w:t xml:space="preserve"> - </w:t>
            </w:r>
            <w:hyperlink r:id="rId22" w:history="1">
              <w:r w:rsidR="007A2233" w:rsidRPr="007A2233">
                <w:rPr>
                  <w:color w:val="0000FF"/>
                  <w:u w:val="single"/>
                </w:rPr>
                <w:t>https://www.molinahealthcare.com/providers/va/medicaid/resources/forms.aspx</w:t>
              </w:r>
            </w:hyperlink>
          </w:p>
          <w:p w14:paraId="2340CAB6" w14:textId="54D4020E"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Credentialing and contracting educators and other non-traditional disciplines-</w:t>
            </w:r>
          </w:p>
          <w:p w14:paraId="07AD5BBF" w14:textId="77777777" w:rsidR="00A10F14" w:rsidRPr="00A10F14" w:rsidRDefault="00A10F14" w:rsidP="00A10F14">
            <w:pPr>
              <w:numPr>
                <w:ilvl w:val="0"/>
                <w:numId w:val="14"/>
              </w:numPr>
              <w:ind w:left="360"/>
              <w:contextualSpacing/>
              <w:rPr>
                <w:rFonts w:eastAsia="Times New Roman" w:cstheme="minorHAnsi"/>
                <w:color w:val="000000"/>
                <w:sz w:val="20"/>
                <w:szCs w:val="20"/>
              </w:rPr>
            </w:pPr>
            <w:r w:rsidRPr="00A10F14">
              <w:rPr>
                <w:rFonts w:eastAsia="Times New Roman" w:cstheme="minorHAnsi"/>
                <w:color w:val="000000"/>
                <w:sz w:val="20"/>
                <w:szCs w:val="20"/>
              </w:rPr>
              <w:t xml:space="preserve">Credentialing- MCC VA has policies and procedures that outline the credentialing process for atypical and non-standard providers. We defer to NCQA, State and DMAS requirements in the development and execution of our credentialing policies and processes. </w:t>
            </w:r>
          </w:p>
          <w:p w14:paraId="20A567A2" w14:textId="77777777" w:rsidR="00A10F14" w:rsidRPr="00A10F14" w:rsidRDefault="00A10F14" w:rsidP="00A10F14">
            <w:pPr>
              <w:numPr>
                <w:ilvl w:val="0"/>
                <w:numId w:val="14"/>
              </w:numPr>
              <w:ind w:left="360"/>
              <w:contextualSpacing/>
              <w:rPr>
                <w:rFonts w:eastAsia="Times New Roman" w:cstheme="minorHAnsi"/>
                <w:color w:val="000000"/>
                <w:sz w:val="20"/>
                <w:szCs w:val="20"/>
              </w:rPr>
            </w:pPr>
            <w:r w:rsidRPr="00A10F14">
              <w:rPr>
                <w:rFonts w:eastAsia="Times New Roman" w:cstheme="minorHAnsi"/>
                <w:color w:val="000000"/>
                <w:sz w:val="20"/>
                <w:szCs w:val="20"/>
              </w:rPr>
              <w:t>Contracting- Standard contracting processes apply as described above</w:t>
            </w:r>
          </w:p>
          <w:p w14:paraId="04858301" w14:textId="77777777" w:rsidR="00A10F14" w:rsidRPr="00A10F14" w:rsidRDefault="00A10F14" w:rsidP="00A10F14">
            <w:pPr>
              <w:rPr>
                <w:rFonts w:cstheme="minorHAnsi"/>
                <w:bCs/>
                <w:color w:val="000000"/>
                <w:sz w:val="20"/>
                <w:szCs w:val="20"/>
              </w:rPr>
            </w:pPr>
            <w:r w:rsidRPr="00A10F14">
              <w:rPr>
                <w:rFonts w:cstheme="minorHAnsi"/>
                <w:bCs/>
                <w:color w:val="000000"/>
                <w:sz w:val="20"/>
                <w:szCs w:val="20"/>
              </w:rPr>
              <w:t>Credentialing and contracting service coordinators</w:t>
            </w:r>
          </w:p>
          <w:p w14:paraId="10FF65FA" w14:textId="77777777" w:rsidR="00A10F14" w:rsidRPr="00A10F14" w:rsidRDefault="00A10F14" w:rsidP="00A10F14">
            <w:pPr>
              <w:numPr>
                <w:ilvl w:val="0"/>
                <w:numId w:val="14"/>
              </w:numPr>
              <w:ind w:left="360"/>
              <w:contextualSpacing/>
              <w:rPr>
                <w:rFonts w:eastAsia="Times New Roman" w:cstheme="minorHAnsi"/>
                <w:color w:val="000000"/>
                <w:sz w:val="20"/>
                <w:szCs w:val="20"/>
              </w:rPr>
            </w:pPr>
            <w:r w:rsidRPr="00A10F14">
              <w:rPr>
                <w:rFonts w:eastAsia="Times New Roman" w:cstheme="minorHAnsi"/>
                <w:color w:val="000000"/>
                <w:sz w:val="20"/>
                <w:szCs w:val="20"/>
              </w:rPr>
              <w:t>Contracting- Standard contracting processes apply as described above</w:t>
            </w:r>
            <w:r w:rsidRPr="00A10F14">
              <w:rPr>
                <w:rFonts w:eastAsia="Times New Roman" w:cstheme="minorHAnsi"/>
                <w:sz w:val="20"/>
                <w:szCs w:val="20"/>
              </w:rPr>
              <w:t>.</w:t>
            </w:r>
          </w:p>
          <w:p w14:paraId="30F7EC88" w14:textId="77777777" w:rsidR="00A10F14" w:rsidRPr="00A10F14" w:rsidRDefault="00A10F14" w:rsidP="00A10F14">
            <w:pPr>
              <w:numPr>
                <w:ilvl w:val="0"/>
                <w:numId w:val="14"/>
              </w:numPr>
              <w:ind w:left="360"/>
              <w:contextualSpacing/>
              <w:rPr>
                <w:rFonts w:eastAsia="Times New Roman" w:cstheme="minorHAnsi"/>
                <w:color w:val="000000"/>
                <w:sz w:val="20"/>
                <w:szCs w:val="20"/>
              </w:rPr>
            </w:pPr>
            <w:r w:rsidRPr="00A10F14">
              <w:rPr>
                <w:rFonts w:eastAsia="Times New Roman" w:cstheme="minorHAnsi"/>
                <w:sz w:val="20"/>
                <w:szCs w:val="20"/>
              </w:rPr>
              <w:t xml:space="preserve">Credentialing- The credentialing process for these providers follows the same process as other ancillary providers. </w:t>
            </w:r>
          </w:p>
          <w:p w14:paraId="7014E392" w14:textId="77777777" w:rsid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Handling of out-of- network providers- Out-of-network (OON) providers may submit an OON authorization request.  If medical necessity criteria are met and there are no appropriately located in-network providers available, the Utilization Management department will approve the request at 100% of VA DMAS rates.  If the provider insists upon higher rates, the Network team will work with the provider to negotiate rates for a Single Case Agreement.</w:t>
            </w:r>
          </w:p>
          <w:p w14:paraId="3239E68A" w14:textId="51F6FCE0" w:rsidR="007A2233" w:rsidRPr="00A10F14" w:rsidRDefault="007A2233" w:rsidP="00A10F14">
            <w:pPr>
              <w:rPr>
                <w:rFonts w:eastAsia="Times New Roman" w:cstheme="minorHAnsi"/>
                <w:color w:val="000000"/>
                <w:sz w:val="20"/>
                <w:szCs w:val="20"/>
              </w:rPr>
            </w:pPr>
            <w:r w:rsidRPr="007A2233">
              <w:rPr>
                <w:rFonts w:eastAsia="Times New Roman" w:cstheme="minorHAnsi"/>
                <w:color w:val="000000"/>
                <w:sz w:val="20"/>
                <w:szCs w:val="20"/>
              </w:rPr>
              <w:t>Providers may contact MCCVA-</w:t>
            </w:r>
            <w:hyperlink r:id="rId23" w:history="1">
              <w:r w:rsidRPr="007A2233">
                <w:rPr>
                  <w:rFonts w:eastAsia="Times New Roman" w:cstheme="minorHAnsi"/>
                  <w:color w:val="0000FF"/>
                  <w:sz w:val="20"/>
                  <w:szCs w:val="20"/>
                  <w:u w:val="single"/>
                </w:rPr>
                <w:t>MCCVA-Provider@molinahealthcare.com</w:t>
              </w:r>
            </w:hyperlink>
            <w:r w:rsidRPr="007A2233">
              <w:rPr>
                <w:rFonts w:eastAsia="Times New Roman" w:cstheme="minorHAnsi"/>
                <w:color w:val="000000"/>
                <w:sz w:val="20"/>
                <w:szCs w:val="20"/>
              </w:rPr>
              <w:t xml:space="preserve"> for assistance with credentialing and contracting concerns.</w:t>
            </w:r>
          </w:p>
        </w:tc>
      </w:tr>
      <w:tr w:rsidR="00A10F14" w:rsidRPr="00A10F14" w14:paraId="23A55B1A" w14:textId="77777777" w:rsidTr="00EF15B9">
        <w:tc>
          <w:tcPr>
            <w:tcW w:w="1705" w:type="dxa"/>
          </w:tcPr>
          <w:p w14:paraId="348BF2B9" w14:textId="77777777" w:rsidR="00A10F14" w:rsidRPr="00A10F14" w:rsidRDefault="00A10F14" w:rsidP="00A10F14">
            <w:pPr>
              <w:rPr>
                <w:rFonts w:cstheme="minorHAnsi"/>
              </w:rPr>
            </w:pPr>
            <w:r w:rsidRPr="00A10F14">
              <w:rPr>
                <w:rFonts w:cstheme="minorHAnsi"/>
              </w:rPr>
              <w:lastRenderedPageBreak/>
              <w:t>Malpractice Insurance for Educators</w:t>
            </w:r>
          </w:p>
        </w:tc>
        <w:tc>
          <w:tcPr>
            <w:tcW w:w="3330" w:type="dxa"/>
          </w:tcPr>
          <w:p w14:paraId="77EB6AC3" w14:textId="77777777" w:rsidR="00A10F14" w:rsidRPr="00A10F14" w:rsidRDefault="00A10F14" w:rsidP="00A10F14">
            <w:pPr>
              <w:rPr>
                <w:rFonts w:cstheme="minorHAnsi"/>
              </w:rPr>
            </w:pPr>
            <w:r w:rsidRPr="00A10F14">
              <w:rPr>
                <w:rFonts w:cstheme="minorHAnsi"/>
              </w:rPr>
              <w:t>Providers must have malpractice insurance if they are not covered by the local system.</w:t>
            </w:r>
          </w:p>
        </w:tc>
        <w:tc>
          <w:tcPr>
            <w:tcW w:w="3330" w:type="dxa"/>
          </w:tcPr>
          <w:p w14:paraId="1D6BA697" w14:textId="77777777" w:rsidR="00A10F14" w:rsidRPr="00A10F14" w:rsidRDefault="00A10F14" w:rsidP="00A10F14">
            <w:pPr>
              <w:numPr>
                <w:ilvl w:val="0"/>
                <w:numId w:val="3"/>
              </w:numPr>
              <w:ind w:left="216" w:hanging="216"/>
              <w:contextualSpacing/>
              <w:rPr>
                <w:rFonts w:cstheme="minorHAnsi"/>
              </w:rPr>
            </w:pPr>
            <w:r w:rsidRPr="00A10F14">
              <w:rPr>
                <w:rFonts w:cstheme="minorHAnsi"/>
              </w:rPr>
              <w:t xml:space="preserve">Requirements related to malpractice insurance for educators and non-traditional disciplines </w:t>
            </w:r>
          </w:p>
        </w:tc>
        <w:tc>
          <w:tcPr>
            <w:tcW w:w="10530" w:type="dxa"/>
          </w:tcPr>
          <w:p w14:paraId="45E2AA20" w14:textId="77777777"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 xml:space="preserve">Malpractice Insurance- Verification of malpractice insurance is a component of our credentialing process for all providers. </w:t>
            </w:r>
          </w:p>
        </w:tc>
      </w:tr>
      <w:tr w:rsidR="00A10F14" w:rsidRPr="00A10F14" w14:paraId="62F1A999" w14:textId="77777777" w:rsidTr="00EF15B9">
        <w:tc>
          <w:tcPr>
            <w:tcW w:w="1705" w:type="dxa"/>
          </w:tcPr>
          <w:p w14:paraId="19A4C73E" w14:textId="77777777" w:rsidR="00A10F14" w:rsidRPr="00A10F14" w:rsidRDefault="00A10F14" w:rsidP="00A10F14">
            <w:pPr>
              <w:rPr>
                <w:rFonts w:cstheme="minorHAnsi"/>
              </w:rPr>
            </w:pPr>
            <w:r w:rsidRPr="00A10F14">
              <w:rPr>
                <w:rFonts w:cstheme="minorHAnsi"/>
              </w:rPr>
              <w:t>IFSP</w:t>
            </w:r>
          </w:p>
        </w:tc>
        <w:tc>
          <w:tcPr>
            <w:tcW w:w="3330" w:type="dxa"/>
          </w:tcPr>
          <w:p w14:paraId="617C6459" w14:textId="77777777" w:rsidR="00A10F14" w:rsidRPr="00A10F14" w:rsidRDefault="00A10F14" w:rsidP="00A10F14">
            <w:pPr>
              <w:rPr>
                <w:rFonts w:cstheme="minorHAnsi"/>
              </w:rPr>
            </w:pPr>
            <w:r w:rsidRPr="00A10F14">
              <w:rPr>
                <w:rFonts w:cstheme="minorHAnsi"/>
              </w:rPr>
              <w:t xml:space="preserve">IFSP must be on file with the MCO for the claim to be considered a Clean Claim. </w:t>
            </w:r>
          </w:p>
          <w:p w14:paraId="7C228777" w14:textId="77777777" w:rsidR="00A10F14" w:rsidRPr="00A10F14" w:rsidRDefault="00A10F14" w:rsidP="00A10F14">
            <w:pPr>
              <w:rPr>
                <w:rFonts w:cstheme="minorHAnsi"/>
              </w:rPr>
            </w:pPr>
          </w:p>
          <w:p w14:paraId="53B3D7F7" w14:textId="77777777" w:rsidR="00A10F14" w:rsidRPr="00A10F14" w:rsidRDefault="00A10F14" w:rsidP="00A10F14">
            <w:pPr>
              <w:rPr>
                <w:rFonts w:cstheme="minorHAnsi"/>
              </w:rPr>
            </w:pPr>
            <w:r w:rsidRPr="00A10F14">
              <w:rPr>
                <w:rFonts w:cstheme="minorHAnsi"/>
              </w:rPr>
              <w:t>If the IFSP is not on file with the MCO prior to the MCO receiving the claim, the claim will not be considered clean and the 14-day timeframe does not apply.</w:t>
            </w:r>
          </w:p>
        </w:tc>
        <w:tc>
          <w:tcPr>
            <w:tcW w:w="3330" w:type="dxa"/>
          </w:tcPr>
          <w:p w14:paraId="357102C3" w14:textId="77777777" w:rsidR="00A10F14" w:rsidRPr="00A10F14" w:rsidRDefault="00A10F14" w:rsidP="00A10F14">
            <w:pPr>
              <w:numPr>
                <w:ilvl w:val="0"/>
                <w:numId w:val="3"/>
              </w:numPr>
              <w:ind w:left="216" w:hanging="216"/>
              <w:contextualSpacing/>
              <w:rPr>
                <w:rFonts w:cstheme="minorHAnsi"/>
              </w:rPr>
            </w:pPr>
            <w:r w:rsidRPr="00A10F14">
              <w:rPr>
                <w:rFonts w:cstheme="minorHAnsi"/>
              </w:rPr>
              <w:t>Method for LLAs to submit IFSP (fax, email) with the specific contact information</w:t>
            </w:r>
          </w:p>
          <w:p w14:paraId="4B83B91F" w14:textId="77777777" w:rsidR="00A10F14" w:rsidRPr="00A10F14" w:rsidRDefault="00A10F14" w:rsidP="00A10F14">
            <w:pPr>
              <w:numPr>
                <w:ilvl w:val="0"/>
                <w:numId w:val="3"/>
              </w:numPr>
              <w:ind w:left="216" w:hanging="216"/>
              <w:contextualSpacing/>
              <w:rPr>
                <w:rFonts w:cstheme="minorHAnsi"/>
              </w:rPr>
            </w:pPr>
            <w:r w:rsidRPr="00A10F14">
              <w:rPr>
                <w:rFonts w:cstheme="minorHAnsi"/>
              </w:rPr>
              <w:t>Submission process of multiple IFSPs, i.e., batch or individual files</w:t>
            </w:r>
          </w:p>
          <w:p w14:paraId="1761C2A4" w14:textId="77777777" w:rsidR="00A10F14" w:rsidRPr="00A10F14" w:rsidRDefault="00A10F14" w:rsidP="00A10F14">
            <w:pPr>
              <w:numPr>
                <w:ilvl w:val="0"/>
                <w:numId w:val="3"/>
              </w:numPr>
              <w:ind w:left="216" w:hanging="216"/>
              <w:contextualSpacing/>
              <w:rPr>
                <w:rFonts w:cstheme="minorHAnsi"/>
              </w:rPr>
            </w:pPr>
            <w:r w:rsidRPr="00A10F14">
              <w:rPr>
                <w:rFonts w:cstheme="minorHAnsi"/>
              </w:rPr>
              <w:t>Confirmation of receipt of IFSP</w:t>
            </w:r>
          </w:p>
        </w:tc>
        <w:tc>
          <w:tcPr>
            <w:tcW w:w="10530" w:type="dxa"/>
          </w:tcPr>
          <w:p w14:paraId="4E5A0881"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t xml:space="preserve">Method for LLAs to submit IFSP- IFSP is submitted via the Utilization Management fax for Medallion 4 and CCC Plus. </w:t>
            </w:r>
          </w:p>
          <w:p w14:paraId="6F050BD6"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t xml:space="preserve">Upon retrieval, it is then attached to the members case and tasked to the members Care Coordinator for review </w:t>
            </w:r>
          </w:p>
          <w:p w14:paraId="2FA3FBD1"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t>Submission process of multiple IFSPs- Same process applies to batch files. We ask that separate faxes be sent to ensure they are attached to the specific member.</w:t>
            </w:r>
          </w:p>
          <w:p w14:paraId="41004A22" w14:textId="77777777" w:rsidR="007A2233" w:rsidRPr="00DF482A" w:rsidRDefault="007A2233" w:rsidP="007A2233">
            <w:pPr>
              <w:rPr>
                <w:rFonts w:eastAsia="Times New Roman" w:cstheme="minorHAnsi"/>
                <w:color w:val="000000"/>
                <w:sz w:val="20"/>
                <w:szCs w:val="20"/>
              </w:rPr>
            </w:pPr>
          </w:p>
          <w:p w14:paraId="4328BF96"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t>Confirmation of receipt- A fax confirmation is generated upon successful retrieval.</w:t>
            </w:r>
          </w:p>
          <w:p w14:paraId="0D4AB10A" w14:textId="77777777" w:rsidR="007A2233" w:rsidRPr="002A416D" w:rsidRDefault="007A2233" w:rsidP="007A2233">
            <w:pPr>
              <w:rPr>
                <w:rFonts w:cstheme="minorHAnsi"/>
                <w:sz w:val="20"/>
                <w:szCs w:val="20"/>
                <w:shd w:val="clear" w:color="auto" w:fill="FFFFFF"/>
              </w:rPr>
            </w:pPr>
            <w:r w:rsidRPr="002A416D">
              <w:rPr>
                <w:rFonts w:cstheme="minorHAnsi"/>
                <w:sz w:val="20"/>
                <w:szCs w:val="20"/>
                <w:shd w:val="clear" w:color="auto" w:fill="FFFFFF"/>
              </w:rPr>
              <w:t>1.423.591.9127 is the local fax number</w:t>
            </w:r>
          </w:p>
          <w:p w14:paraId="0576946B" w14:textId="77777777" w:rsidR="007A2233" w:rsidRPr="002A416D" w:rsidRDefault="007A2233" w:rsidP="007A2233">
            <w:pPr>
              <w:rPr>
                <w:rFonts w:cstheme="minorHAnsi"/>
                <w:sz w:val="20"/>
                <w:szCs w:val="20"/>
              </w:rPr>
            </w:pPr>
            <w:r w:rsidRPr="002A416D">
              <w:rPr>
                <w:rFonts w:cstheme="minorHAnsi"/>
                <w:sz w:val="20"/>
                <w:szCs w:val="20"/>
                <w:shd w:val="clear" w:color="auto" w:fill="FFFFFF"/>
              </w:rPr>
              <w:t>1.800.614.7934 is the toll free number</w:t>
            </w:r>
          </w:p>
          <w:p w14:paraId="4BE31D8E" w14:textId="77777777" w:rsidR="00A10F14" w:rsidRPr="00A10F14" w:rsidRDefault="00A10F14" w:rsidP="00A10F14">
            <w:pPr>
              <w:rPr>
                <w:rFonts w:cstheme="minorHAnsi"/>
              </w:rPr>
            </w:pPr>
          </w:p>
        </w:tc>
      </w:tr>
      <w:tr w:rsidR="00A10F14" w:rsidRPr="00A10F14" w14:paraId="418110FD" w14:textId="77777777" w:rsidTr="00EF15B9">
        <w:tc>
          <w:tcPr>
            <w:tcW w:w="1705" w:type="dxa"/>
          </w:tcPr>
          <w:p w14:paraId="6C044AB1" w14:textId="77777777" w:rsidR="00A10F14" w:rsidRPr="00A10F14" w:rsidRDefault="00A10F14" w:rsidP="00A10F14">
            <w:pPr>
              <w:rPr>
                <w:rFonts w:cstheme="minorHAnsi"/>
              </w:rPr>
            </w:pPr>
            <w:r w:rsidRPr="00A10F14">
              <w:rPr>
                <w:rFonts w:cstheme="minorHAnsi"/>
              </w:rPr>
              <w:t>Clean Claim</w:t>
            </w:r>
          </w:p>
        </w:tc>
        <w:tc>
          <w:tcPr>
            <w:tcW w:w="3330" w:type="dxa"/>
          </w:tcPr>
          <w:p w14:paraId="7BB248A8" w14:textId="77777777" w:rsidR="00A10F14" w:rsidRPr="00A10F14" w:rsidRDefault="00A10F14" w:rsidP="00A10F14">
            <w:pPr>
              <w:rPr>
                <w:rFonts w:cstheme="minorHAnsi"/>
              </w:rPr>
            </w:pPr>
            <w:r w:rsidRPr="00A10F14">
              <w:rPr>
                <w:rFonts w:cstheme="minorHAnsi"/>
              </w:rPr>
              <w:t>Clean claims must be paid within 14 days.</w:t>
            </w:r>
          </w:p>
        </w:tc>
        <w:tc>
          <w:tcPr>
            <w:tcW w:w="3330" w:type="dxa"/>
          </w:tcPr>
          <w:p w14:paraId="019A45A7" w14:textId="77777777" w:rsidR="00A10F14" w:rsidRPr="00A10F14" w:rsidRDefault="00A10F14" w:rsidP="00A10F14">
            <w:pPr>
              <w:numPr>
                <w:ilvl w:val="0"/>
                <w:numId w:val="4"/>
              </w:numPr>
              <w:ind w:left="216" w:hanging="216"/>
              <w:contextualSpacing/>
              <w:rPr>
                <w:rFonts w:cstheme="minorHAnsi"/>
              </w:rPr>
            </w:pPr>
            <w:r w:rsidRPr="00A10F14">
              <w:rPr>
                <w:rFonts w:cstheme="minorHAnsi"/>
              </w:rPr>
              <w:t>Process for non-clean claims, i.e., rejected or denied</w:t>
            </w:r>
          </w:p>
          <w:p w14:paraId="166ECB72" w14:textId="77777777" w:rsidR="00A10F14" w:rsidRPr="00A10F14" w:rsidRDefault="00A10F14" w:rsidP="00A10F14">
            <w:pPr>
              <w:numPr>
                <w:ilvl w:val="0"/>
                <w:numId w:val="4"/>
              </w:numPr>
              <w:ind w:left="216" w:hanging="216"/>
              <w:contextualSpacing/>
              <w:rPr>
                <w:rFonts w:cstheme="minorHAnsi"/>
              </w:rPr>
            </w:pPr>
            <w:r w:rsidRPr="00A10F14">
              <w:rPr>
                <w:rFonts w:cstheme="minorHAnsi"/>
              </w:rPr>
              <w:t>Process for handling non-clean claims with the provider</w:t>
            </w:r>
          </w:p>
        </w:tc>
        <w:tc>
          <w:tcPr>
            <w:tcW w:w="10530" w:type="dxa"/>
          </w:tcPr>
          <w:p w14:paraId="337F9B99" w14:textId="77777777" w:rsidR="00A10F14" w:rsidRPr="00A10F14" w:rsidRDefault="00A10F14" w:rsidP="00A10F14">
            <w:pPr>
              <w:rPr>
                <w:rFonts w:cstheme="minorHAnsi"/>
              </w:rPr>
            </w:pPr>
            <w:r w:rsidRPr="00A10F14">
              <w:rPr>
                <w:rFonts w:eastAsia="Times New Roman" w:cstheme="minorHAnsi"/>
                <w:color w:val="000000"/>
                <w:sz w:val="20"/>
                <w:szCs w:val="20"/>
              </w:rPr>
              <w:t>Process for non-clean claims- Non-clean claims will reject and/or deny with a specific code to explain the reason why the claim cannot be finalized. The claim will need require resubmission to correct the coding/billing error.</w:t>
            </w:r>
            <w:r w:rsidRPr="00A10F14">
              <w:rPr>
                <w:rFonts w:cstheme="minorHAnsi"/>
              </w:rPr>
              <w:t xml:space="preserve">  </w:t>
            </w:r>
          </w:p>
        </w:tc>
      </w:tr>
      <w:tr w:rsidR="00A10F14" w:rsidRPr="00A10F14" w14:paraId="728254AD" w14:textId="77777777" w:rsidTr="00EF15B9">
        <w:tc>
          <w:tcPr>
            <w:tcW w:w="1705" w:type="dxa"/>
          </w:tcPr>
          <w:p w14:paraId="0F759849" w14:textId="77777777" w:rsidR="00A10F14" w:rsidRPr="00A10F14" w:rsidRDefault="00A10F14" w:rsidP="00A10F14">
            <w:pPr>
              <w:rPr>
                <w:rFonts w:cstheme="minorHAnsi"/>
              </w:rPr>
            </w:pPr>
            <w:r w:rsidRPr="00A10F14">
              <w:rPr>
                <w:rFonts w:cstheme="minorHAnsi"/>
              </w:rPr>
              <w:t>Decline to Bill Form and EOB</w:t>
            </w:r>
          </w:p>
        </w:tc>
        <w:tc>
          <w:tcPr>
            <w:tcW w:w="3330" w:type="dxa"/>
          </w:tcPr>
          <w:p w14:paraId="2D5FE690" w14:textId="77777777" w:rsidR="00A10F14" w:rsidRPr="00A10F14" w:rsidRDefault="00A10F14" w:rsidP="00A10F14">
            <w:pPr>
              <w:rPr>
                <w:rFonts w:cstheme="minorHAnsi"/>
              </w:rPr>
            </w:pPr>
            <w:r w:rsidRPr="00A10F14">
              <w:rPr>
                <w:rFonts w:cstheme="minorHAnsi"/>
              </w:rPr>
              <w:t>Families may decline to bill their private insurance for coverage of EI services and will sign the Decline to Bill Form. LLAs will have this form on file.</w:t>
            </w:r>
          </w:p>
          <w:p w14:paraId="531CE513" w14:textId="77777777" w:rsidR="00A10F14" w:rsidRPr="00A10F14" w:rsidRDefault="00A10F14" w:rsidP="00A10F14">
            <w:pPr>
              <w:rPr>
                <w:rFonts w:cstheme="minorHAnsi"/>
              </w:rPr>
            </w:pPr>
          </w:p>
          <w:p w14:paraId="168CDDAD" w14:textId="77777777" w:rsidR="00A10F14" w:rsidRPr="00A10F14" w:rsidRDefault="00A10F14" w:rsidP="00A10F14">
            <w:pPr>
              <w:rPr>
                <w:rFonts w:cstheme="minorHAnsi"/>
              </w:rPr>
            </w:pPr>
            <w:r w:rsidRPr="00A10F14">
              <w:rPr>
                <w:rFonts w:cstheme="minorHAnsi"/>
              </w:rPr>
              <w:t>If family does not decline to bill, the private insurance will send EOB</w:t>
            </w:r>
          </w:p>
        </w:tc>
        <w:tc>
          <w:tcPr>
            <w:tcW w:w="3330" w:type="dxa"/>
          </w:tcPr>
          <w:p w14:paraId="3520EC2C" w14:textId="77777777" w:rsidR="00A10F14" w:rsidRPr="00A10F14" w:rsidRDefault="00A10F14" w:rsidP="00A10F14">
            <w:pPr>
              <w:numPr>
                <w:ilvl w:val="0"/>
                <w:numId w:val="5"/>
              </w:numPr>
              <w:ind w:left="216" w:hanging="216"/>
              <w:contextualSpacing/>
              <w:rPr>
                <w:rFonts w:cstheme="minorHAnsi"/>
              </w:rPr>
            </w:pPr>
            <w:r w:rsidRPr="00A10F14">
              <w:rPr>
                <w:rFonts w:cstheme="minorHAnsi"/>
              </w:rPr>
              <w:t>Submission process for Decline to Bill Form</w:t>
            </w:r>
          </w:p>
          <w:p w14:paraId="4B1121E9" w14:textId="77777777" w:rsidR="00A10F14" w:rsidRPr="00A10F14" w:rsidRDefault="00A10F14" w:rsidP="00A10F14">
            <w:pPr>
              <w:numPr>
                <w:ilvl w:val="0"/>
                <w:numId w:val="5"/>
              </w:numPr>
              <w:ind w:left="216" w:hanging="216"/>
              <w:contextualSpacing/>
              <w:rPr>
                <w:rFonts w:cstheme="minorHAnsi"/>
              </w:rPr>
            </w:pPr>
            <w:r w:rsidRPr="00A10F14">
              <w:rPr>
                <w:rFonts w:cstheme="minorHAnsi"/>
              </w:rPr>
              <w:t>Process for ensuring Claims Department is aware of Decline to Bill form</w:t>
            </w:r>
          </w:p>
          <w:p w14:paraId="6B4EBDE2" w14:textId="77777777" w:rsidR="00A10F14" w:rsidRPr="00A10F14" w:rsidRDefault="00A10F14" w:rsidP="00A10F14">
            <w:pPr>
              <w:numPr>
                <w:ilvl w:val="0"/>
                <w:numId w:val="5"/>
              </w:numPr>
              <w:ind w:left="216" w:hanging="216"/>
              <w:contextualSpacing/>
              <w:rPr>
                <w:rFonts w:cstheme="minorHAnsi"/>
              </w:rPr>
            </w:pPr>
            <w:r w:rsidRPr="00A10F14">
              <w:rPr>
                <w:rFonts w:cstheme="minorHAnsi"/>
              </w:rPr>
              <w:t>Process for handling claims when Decline to Bill is or the EOB are not on file</w:t>
            </w:r>
          </w:p>
        </w:tc>
        <w:tc>
          <w:tcPr>
            <w:tcW w:w="10530" w:type="dxa"/>
          </w:tcPr>
          <w:p w14:paraId="46D789ED" w14:textId="77777777"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 xml:space="preserve">Submission process for Decline to Bill Form- If the family chooses to decline access to their private insurance; Molina Complete Care of VA requires the Decline to Bill form be submitted with the bill for the services. </w:t>
            </w:r>
            <w:r w:rsidRPr="00A10F14">
              <w:rPr>
                <w:rFonts w:cstheme="minorHAnsi"/>
                <w:bCs/>
                <w:color w:val="000000"/>
                <w:sz w:val="20"/>
                <w:szCs w:val="20"/>
                <w:shd w:val="clear" w:color="auto" w:fill="FFFFFF"/>
              </w:rPr>
              <w:t>Molina currently does not require a Decline to Bill form in order to process or pay the claim. </w:t>
            </w:r>
          </w:p>
          <w:p w14:paraId="55D328A1" w14:textId="77777777" w:rsidR="00A10F14" w:rsidRPr="00A10F14" w:rsidRDefault="00A10F14" w:rsidP="00A10F14">
            <w:pPr>
              <w:rPr>
                <w:rFonts w:eastAsia="Times New Roman" w:cstheme="minorHAnsi"/>
                <w:color w:val="000000"/>
                <w:sz w:val="20"/>
                <w:szCs w:val="20"/>
              </w:rPr>
            </w:pPr>
          </w:p>
          <w:p w14:paraId="20CA9908" w14:textId="77777777"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 xml:space="preserve">Process for ensuring Claims Dept is aware of form- By having the family submit the form with the bill, our claims team is aware of their request at receipt of the bill. </w:t>
            </w:r>
          </w:p>
          <w:p w14:paraId="175D9B01" w14:textId="77777777" w:rsidR="00A10F14" w:rsidRPr="00A10F14" w:rsidRDefault="00A10F14" w:rsidP="00A10F14">
            <w:pPr>
              <w:rPr>
                <w:rFonts w:eastAsia="Times New Roman" w:cstheme="minorHAnsi"/>
                <w:color w:val="000000"/>
                <w:sz w:val="20"/>
                <w:szCs w:val="20"/>
              </w:rPr>
            </w:pPr>
          </w:p>
          <w:p w14:paraId="7D1039B2" w14:textId="77777777" w:rsidR="00A10F14" w:rsidRPr="00A10F14" w:rsidRDefault="00A10F14" w:rsidP="00A10F14">
            <w:pPr>
              <w:rPr>
                <w:rFonts w:cstheme="minorHAnsi"/>
              </w:rPr>
            </w:pPr>
            <w:r w:rsidRPr="00A10F14">
              <w:rPr>
                <w:rFonts w:eastAsia="Times New Roman" w:cstheme="minorHAnsi"/>
                <w:color w:val="000000"/>
                <w:sz w:val="20"/>
                <w:szCs w:val="20"/>
              </w:rPr>
              <w:t>Process for handling claims when Decline to Bill or EOB is not on file- If the Decline to Bill or EOB are not on file, the EI claims are processed in the 14 day turn-around time, as per the contract.</w:t>
            </w:r>
            <w:r w:rsidRPr="00A10F14">
              <w:rPr>
                <w:rFonts w:cstheme="minorHAnsi"/>
              </w:rPr>
              <w:t xml:space="preserve"> </w:t>
            </w:r>
          </w:p>
        </w:tc>
      </w:tr>
      <w:tr w:rsidR="00A10F14" w:rsidRPr="00A10F14" w14:paraId="2089D737" w14:textId="77777777" w:rsidTr="00EF15B9">
        <w:tc>
          <w:tcPr>
            <w:tcW w:w="1705" w:type="dxa"/>
          </w:tcPr>
          <w:p w14:paraId="0CF76A29" w14:textId="77777777" w:rsidR="00A10F14" w:rsidRPr="00A10F14" w:rsidRDefault="00A10F14" w:rsidP="00A10F14">
            <w:pPr>
              <w:rPr>
                <w:rFonts w:cstheme="minorHAnsi"/>
              </w:rPr>
            </w:pPr>
            <w:r w:rsidRPr="00A10F14">
              <w:rPr>
                <w:rFonts w:cstheme="minorHAnsi"/>
              </w:rPr>
              <w:t>EI Enrollment and Indicator</w:t>
            </w:r>
          </w:p>
        </w:tc>
        <w:tc>
          <w:tcPr>
            <w:tcW w:w="3330" w:type="dxa"/>
          </w:tcPr>
          <w:p w14:paraId="0AB05D5F" w14:textId="77777777" w:rsidR="00A10F14" w:rsidRPr="00A10F14" w:rsidRDefault="00A10F14" w:rsidP="00A10F14">
            <w:pPr>
              <w:rPr>
                <w:rFonts w:cstheme="minorHAnsi"/>
              </w:rPr>
            </w:pPr>
            <w:r w:rsidRPr="00A10F14">
              <w:rPr>
                <w:rFonts w:cstheme="minorHAnsi"/>
              </w:rPr>
              <w:t xml:space="preserve">A child must have an EI indicator on the enrollment file in order for an EI service to be reimbursed. </w:t>
            </w:r>
          </w:p>
          <w:p w14:paraId="2AFABB03" w14:textId="77777777" w:rsidR="00A10F14" w:rsidRPr="00A10F14" w:rsidRDefault="00A10F14" w:rsidP="00A10F14">
            <w:pPr>
              <w:rPr>
                <w:rFonts w:cstheme="minorHAnsi"/>
              </w:rPr>
            </w:pPr>
          </w:p>
          <w:p w14:paraId="6FE53016" w14:textId="77777777" w:rsidR="00A10F14" w:rsidRPr="00A10F14" w:rsidRDefault="00A10F14" w:rsidP="00A10F14">
            <w:pPr>
              <w:rPr>
                <w:rFonts w:cstheme="minorHAnsi"/>
              </w:rPr>
            </w:pPr>
            <w:r w:rsidRPr="00A10F14">
              <w:rPr>
                <w:rFonts w:cstheme="minorHAnsi"/>
              </w:rPr>
              <w:t xml:space="preserve">Due to timing of the enrollment file, if the provider bills prior to </w:t>
            </w:r>
            <w:r w:rsidRPr="00A10F14">
              <w:rPr>
                <w:rFonts w:cstheme="minorHAnsi"/>
              </w:rPr>
              <w:lastRenderedPageBreak/>
              <w:t>the MCO receiving the file listing the child as having the EI indicator, the claim will deny due to “child not enrolled in the EI”. This impacts submission of a clean claim.</w:t>
            </w:r>
          </w:p>
        </w:tc>
        <w:tc>
          <w:tcPr>
            <w:tcW w:w="3330" w:type="dxa"/>
          </w:tcPr>
          <w:p w14:paraId="4672BF91" w14:textId="77777777" w:rsidR="00A10F14" w:rsidRPr="00A10F14" w:rsidRDefault="00A10F14" w:rsidP="00A10F14">
            <w:pPr>
              <w:numPr>
                <w:ilvl w:val="0"/>
                <w:numId w:val="6"/>
              </w:numPr>
              <w:ind w:left="216" w:hanging="216"/>
              <w:contextualSpacing/>
              <w:rPr>
                <w:rFonts w:cstheme="minorHAnsi"/>
              </w:rPr>
            </w:pPr>
            <w:r w:rsidRPr="00A10F14">
              <w:rPr>
                <w:rFonts w:cstheme="minorHAnsi"/>
              </w:rPr>
              <w:lastRenderedPageBreak/>
              <w:t>Process to handle claims when the EI indicator is not on plan enrollment file</w:t>
            </w:r>
          </w:p>
        </w:tc>
        <w:tc>
          <w:tcPr>
            <w:tcW w:w="10530" w:type="dxa"/>
          </w:tcPr>
          <w:p w14:paraId="3B2BF604" w14:textId="77777777" w:rsidR="00A10F14" w:rsidRPr="00A10F14" w:rsidRDefault="00A10F14" w:rsidP="00A10F14">
            <w:pPr>
              <w:rPr>
                <w:rFonts w:cstheme="minorHAnsi"/>
                <w:sz w:val="20"/>
                <w:szCs w:val="20"/>
              </w:rPr>
            </w:pPr>
            <w:r w:rsidRPr="00A10F14">
              <w:rPr>
                <w:rFonts w:eastAsia="Times New Roman" w:cstheme="minorHAnsi"/>
                <w:color w:val="000000"/>
                <w:sz w:val="20"/>
                <w:szCs w:val="20"/>
              </w:rPr>
              <w:t>If the EI indicator is not present at the time of the claim processing, the claim will deny. If there is a question regarding a member’s EI status, our Claims and Enrollment teams work collaboratively to verify the status of the member.</w:t>
            </w:r>
            <w:r w:rsidRPr="00A10F14">
              <w:rPr>
                <w:rFonts w:cstheme="minorHAnsi"/>
              </w:rPr>
              <w:t xml:space="preserve"> </w:t>
            </w:r>
            <w:r w:rsidRPr="00A10F14">
              <w:rPr>
                <w:rFonts w:cstheme="minorHAnsi"/>
                <w:sz w:val="20"/>
                <w:szCs w:val="20"/>
              </w:rPr>
              <w:t xml:space="preserve">The process used to verify member is EI prior to receipt of the next </w:t>
            </w:r>
            <w:proofErr w:type="spellStart"/>
            <w:r w:rsidRPr="00A10F14">
              <w:rPr>
                <w:rFonts w:cstheme="minorHAnsi"/>
                <w:sz w:val="20"/>
                <w:szCs w:val="20"/>
              </w:rPr>
              <w:t>mid month</w:t>
            </w:r>
            <w:proofErr w:type="spellEnd"/>
            <w:r w:rsidRPr="00A10F14">
              <w:rPr>
                <w:rFonts w:cstheme="minorHAnsi"/>
                <w:sz w:val="20"/>
                <w:szCs w:val="20"/>
              </w:rPr>
              <w:t xml:space="preserve"> 834 involves The Individual Family Service Plan used to identify EI members.  This is uploaded to the members file.</w:t>
            </w:r>
          </w:p>
        </w:tc>
      </w:tr>
      <w:tr w:rsidR="00A10F14" w:rsidRPr="00A10F14" w14:paraId="615FCC41" w14:textId="77777777" w:rsidTr="00EF15B9">
        <w:tc>
          <w:tcPr>
            <w:tcW w:w="1705" w:type="dxa"/>
          </w:tcPr>
          <w:p w14:paraId="631211B3" w14:textId="77777777" w:rsidR="00A10F14" w:rsidRPr="00A10F14" w:rsidRDefault="00A10F14" w:rsidP="00A10F14">
            <w:pPr>
              <w:rPr>
                <w:rFonts w:cstheme="minorHAnsi"/>
              </w:rPr>
            </w:pPr>
            <w:r w:rsidRPr="00A10F14">
              <w:rPr>
                <w:rFonts w:cstheme="minorHAnsi"/>
              </w:rPr>
              <w:lastRenderedPageBreak/>
              <w:t>Care Coordination</w:t>
            </w:r>
          </w:p>
        </w:tc>
        <w:tc>
          <w:tcPr>
            <w:tcW w:w="3330" w:type="dxa"/>
          </w:tcPr>
          <w:p w14:paraId="473DED1F" w14:textId="77777777" w:rsidR="00A10F14" w:rsidRPr="00A10F14" w:rsidRDefault="00A10F14" w:rsidP="00A10F14">
            <w:pPr>
              <w:rPr>
                <w:rFonts w:cstheme="minorHAnsi"/>
              </w:rPr>
            </w:pPr>
            <w:r w:rsidRPr="00A10F14">
              <w:rPr>
                <w:rFonts w:cstheme="minorHAnsi"/>
              </w:rPr>
              <w:t>Plan care coordinators should collaborate with the EI Service Coordinator</w:t>
            </w:r>
          </w:p>
        </w:tc>
        <w:tc>
          <w:tcPr>
            <w:tcW w:w="3330" w:type="dxa"/>
          </w:tcPr>
          <w:p w14:paraId="2DBEAA16" w14:textId="77777777" w:rsidR="00A10F14" w:rsidRPr="00A10F14" w:rsidRDefault="00A10F14" w:rsidP="00A10F14">
            <w:pPr>
              <w:numPr>
                <w:ilvl w:val="0"/>
                <w:numId w:val="6"/>
              </w:numPr>
              <w:ind w:left="216" w:hanging="216"/>
              <w:contextualSpacing/>
              <w:rPr>
                <w:rFonts w:cstheme="minorHAnsi"/>
              </w:rPr>
            </w:pPr>
            <w:r w:rsidRPr="00A10F14">
              <w:rPr>
                <w:rFonts w:cstheme="minorHAnsi"/>
              </w:rPr>
              <w:t>Role of the care coordinator</w:t>
            </w:r>
          </w:p>
          <w:p w14:paraId="068FD015" w14:textId="77777777" w:rsidR="00A10F14" w:rsidRPr="00A10F14" w:rsidRDefault="00A10F14" w:rsidP="00A10F14">
            <w:pPr>
              <w:numPr>
                <w:ilvl w:val="0"/>
                <w:numId w:val="6"/>
              </w:numPr>
              <w:ind w:left="216" w:hanging="216"/>
              <w:contextualSpacing/>
              <w:rPr>
                <w:rFonts w:cstheme="minorHAnsi"/>
              </w:rPr>
            </w:pPr>
            <w:r w:rsidRPr="00A10F14">
              <w:rPr>
                <w:rFonts w:cstheme="minorHAnsi"/>
              </w:rPr>
              <w:t>Process for exchanging information between care coordinator and service coordinator</w:t>
            </w:r>
          </w:p>
          <w:p w14:paraId="562E710C" w14:textId="77777777" w:rsidR="00A10F14" w:rsidRPr="00A10F14" w:rsidRDefault="00A10F14" w:rsidP="00A10F14">
            <w:pPr>
              <w:numPr>
                <w:ilvl w:val="0"/>
                <w:numId w:val="6"/>
              </w:numPr>
              <w:ind w:left="216" w:hanging="216"/>
              <w:contextualSpacing/>
              <w:rPr>
                <w:rFonts w:cstheme="minorHAnsi"/>
              </w:rPr>
            </w:pPr>
            <w:r w:rsidRPr="00A10F14">
              <w:rPr>
                <w:rFonts w:cstheme="minorHAnsi"/>
              </w:rPr>
              <w:t>Frequency of contact between coordinators, i.e., timeframe for initial contact and ongoing contact</w:t>
            </w:r>
          </w:p>
        </w:tc>
        <w:tc>
          <w:tcPr>
            <w:tcW w:w="10530" w:type="dxa"/>
          </w:tcPr>
          <w:p w14:paraId="264E301B"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t xml:space="preserve">Role of the Care Coordinator – The role of the CC in this scenario is similar to any person with special needs. The CC reaches and conducts an initial screening, identifies that member’s needs, works with the providers (with the member’s guardians permission) to establish a plan of care (POC) that all parties involved agree upon. </w:t>
            </w:r>
            <w:r>
              <w:rPr>
                <w:rFonts w:eastAsia="Times New Roman" w:cstheme="minorHAnsi"/>
                <w:color w:val="000000"/>
                <w:sz w:val="20"/>
                <w:szCs w:val="20"/>
              </w:rPr>
              <w:t>An ICT is held if requested by the provider or member’s rep.</w:t>
            </w:r>
          </w:p>
          <w:p w14:paraId="40CBF189" w14:textId="77777777" w:rsidR="007A2233" w:rsidRDefault="007A2233" w:rsidP="00A10F14">
            <w:pPr>
              <w:rPr>
                <w:rFonts w:eastAsia="Times New Roman" w:cstheme="minorHAnsi"/>
                <w:color w:val="000000"/>
                <w:sz w:val="20"/>
                <w:szCs w:val="20"/>
              </w:rPr>
            </w:pPr>
          </w:p>
          <w:p w14:paraId="0A0C96A0" w14:textId="4D9DFBA6"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 xml:space="preserve">Process for exchanging information between CC and SC – The member’s assigned CC, routinely outreaches to the EI provider to obtain a copy of the IFSP and discuss any needs the member may have that would require intervention/coordination between the two coordinators. At that point, they can discuss needed frequency of contact based on the members needs/condition. </w:t>
            </w:r>
          </w:p>
          <w:p w14:paraId="1FFB27DB" w14:textId="77777777" w:rsidR="00A10F14" w:rsidRPr="00A10F14" w:rsidRDefault="00A10F14" w:rsidP="00A10F14">
            <w:pPr>
              <w:rPr>
                <w:rFonts w:eastAsia="Times New Roman" w:cstheme="minorHAnsi"/>
                <w:color w:val="000000"/>
                <w:sz w:val="20"/>
                <w:szCs w:val="20"/>
              </w:rPr>
            </w:pPr>
          </w:p>
          <w:p w14:paraId="0134CB16" w14:textId="77777777" w:rsidR="00A10F14" w:rsidRPr="00A10F14" w:rsidRDefault="00A10F14" w:rsidP="00A10F14">
            <w:pPr>
              <w:rPr>
                <w:rFonts w:cstheme="minorHAnsi"/>
              </w:rPr>
            </w:pPr>
            <w:r w:rsidRPr="00A10F14">
              <w:rPr>
                <w:rFonts w:eastAsia="Times New Roman" w:cstheme="minorHAnsi"/>
                <w:color w:val="000000"/>
                <w:sz w:val="20"/>
                <w:szCs w:val="20"/>
              </w:rPr>
              <w:t>Frequency of contact between coordinators – The CC will outreach upon initial assignment for collaboration in the member’s ICT meeting to formulate a POC. At that point they may discuss a needed frequency of contact based on the member’s needs, but at a minimum if there is a change in condition requiring a triggering assessment or upon routine reassessment (every 3 months on average)</w:t>
            </w:r>
            <w:r w:rsidRPr="00A10F14">
              <w:rPr>
                <w:rFonts w:cstheme="minorHAnsi"/>
              </w:rPr>
              <w:t xml:space="preserve">  </w:t>
            </w:r>
          </w:p>
        </w:tc>
      </w:tr>
      <w:tr w:rsidR="00A10F14" w:rsidRPr="00A10F14" w14:paraId="21E6BA17" w14:textId="77777777" w:rsidTr="00EF15B9">
        <w:tc>
          <w:tcPr>
            <w:tcW w:w="1705" w:type="dxa"/>
          </w:tcPr>
          <w:p w14:paraId="332BBB79" w14:textId="77777777" w:rsidR="00A10F14" w:rsidRPr="00A10F14" w:rsidRDefault="00A10F14" w:rsidP="00A10F14">
            <w:pPr>
              <w:rPr>
                <w:rFonts w:cstheme="minorHAnsi"/>
              </w:rPr>
            </w:pPr>
            <w:r w:rsidRPr="00A10F14">
              <w:rPr>
                <w:rFonts w:cstheme="minorHAnsi"/>
              </w:rPr>
              <w:t>Interpreter and Translation Services</w:t>
            </w:r>
          </w:p>
        </w:tc>
        <w:tc>
          <w:tcPr>
            <w:tcW w:w="3330" w:type="dxa"/>
          </w:tcPr>
          <w:p w14:paraId="2FC3D871" w14:textId="77777777" w:rsidR="00A10F14" w:rsidRPr="00A10F14" w:rsidRDefault="00A10F14" w:rsidP="00A10F14">
            <w:pPr>
              <w:rPr>
                <w:rFonts w:cstheme="minorHAnsi"/>
              </w:rPr>
            </w:pPr>
            <w:r w:rsidRPr="00A10F14">
              <w:rPr>
                <w:rFonts w:cstheme="minorHAnsi"/>
              </w:rPr>
              <w:t>Language assistance services, including but not limited to interpreter and translation services, are available free of charge.</w:t>
            </w:r>
          </w:p>
        </w:tc>
        <w:tc>
          <w:tcPr>
            <w:tcW w:w="3330" w:type="dxa"/>
          </w:tcPr>
          <w:p w14:paraId="07532578" w14:textId="77777777" w:rsidR="00A10F14" w:rsidRPr="00A10F14" w:rsidRDefault="00A10F14" w:rsidP="00A10F14">
            <w:pPr>
              <w:numPr>
                <w:ilvl w:val="0"/>
                <w:numId w:val="7"/>
              </w:numPr>
              <w:ind w:left="216" w:hanging="216"/>
              <w:contextualSpacing/>
              <w:rPr>
                <w:rFonts w:cstheme="minorHAnsi"/>
              </w:rPr>
            </w:pPr>
            <w:r w:rsidRPr="00A10F14">
              <w:rPr>
                <w:rFonts w:cstheme="minorHAnsi"/>
              </w:rPr>
              <w:t>Process for providers, service coordinators, and/or families to access interpreter/translation services</w:t>
            </w:r>
          </w:p>
          <w:p w14:paraId="1BD12BD6" w14:textId="77777777" w:rsidR="00A10F14" w:rsidRPr="00A10F14" w:rsidRDefault="00A10F14" w:rsidP="00A10F14">
            <w:pPr>
              <w:numPr>
                <w:ilvl w:val="0"/>
                <w:numId w:val="7"/>
              </w:numPr>
              <w:ind w:left="216" w:hanging="216"/>
              <w:contextualSpacing/>
              <w:rPr>
                <w:rFonts w:cstheme="minorHAnsi"/>
              </w:rPr>
            </w:pPr>
            <w:r w:rsidRPr="00A10F14">
              <w:rPr>
                <w:rFonts w:cstheme="minorHAnsi"/>
              </w:rPr>
              <w:t>Timeframe for accessing interpreter/translation services</w:t>
            </w:r>
          </w:p>
        </w:tc>
        <w:tc>
          <w:tcPr>
            <w:tcW w:w="10530" w:type="dxa"/>
          </w:tcPr>
          <w:p w14:paraId="428B6FE8" w14:textId="77777777" w:rsidR="00A10F14" w:rsidRPr="00A10F14" w:rsidRDefault="00A10F14" w:rsidP="00A10F14">
            <w:pPr>
              <w:rPr>
                <w:rFonts w:eastAsia="Times New Roman" w:cstheme="minorHAnsi"/>
                <w:color w:val="000000"/>
                <w:sz w:val="20"/>
                <w:szCs w:val="20"/>
              </w:rPr>
            </w:pPr>
            <w:r w:rsidRPr="00A10F14">
              <w:rPr>
                <w:rFonts w:eastAsia="Times New Roman" w:cstheme="minorHAnsi"/>
                <w:color w:val="000000"/>
                <w:sz w:val="20"/>
                <w:szCs w:val="20"/>
              </w:rPr>
              <w:t xml:space="preserve">Process for providers, SC, and or families to access interpreter/translation services - For telephonic language line services, the CC will initiate contact to our contracted provider to request the needed translation services to place a call to the member/family. If Face-to-Face transition services are needed. The CC (and/or the member) can outreach to our member services line to facilitate that appointment. </w:t>
            </w:r>
          </w:p>
          <w:p w14:paraId="7A50F5D6" w14:textId="77777777" w:rsidR="00A10F14" w:rsidRPr="00A10F14" w:rsidRDefault="00A10F14" w:rsidP="00A10F14">
            <w:pPr>
              <w:rPr>
                <w:rFonts w:eastAsia="Times New Roman" w:cstheme="minorHAnsi"/>
                <w:color w:val="000000"/>
                <w:sz w:val="20"/>
                <w:szCs w:val="20"/>
              </w:rPr>
            </w:pPr>
          </w:p>
          <w:p w14:paraId="0EF41BCA" w14:textId="77777777" w:rsidR="00A10F14" w:rsidRPr="00A10F14" w:rsidRDefault="00A10F14" w:rsidP="00A10F14">
            <w:pPr>
              <w:rPr>
                <w:rFonts w:cstheme="minorHAnsi"/>
              </w:rPr>
            </w:pPr>
            <w:r w:rsidRPr="00A10F14">
              <w:rPr>
                <w:rFonts w:eastAsia="Times New Roman" w:cstheme="minorHAnsi"/>
                <w:color w:val="000000"/>
                <w:sz w:val="20"/>
                <w:szCs w:val="20"/>
              </w:rPr>
              <w:t>Timeframe for accessing interpreter/translation services – Telephonic translation services are available to members, families, and providers. Request submitted via translator app at least 24 hours in advanced to ensure a translator is available to assist. Translator is assigned to the case. For families, providers, and Service Coordinators, the request for a translator is sent to our Customer Service team and the same process is followed.</w:t>
            </w:r>
            <w:r w:rsidRPr="00A10F14">
              <w:rPr>
                <w:rFonts w:cstheme="minorHAnsi"/>
              </w:rPr>
              <w:t xml:space="preserve"> </w:t>
            </w:r>
          </w:p>
          <w:p w14:paraId="0CFC7423" w14:textId="77777777" w:rsidR="007A2233" w:rsidRPr="00DF482A" w:rsidRDefault="007A2233" w:rsidP="007A2233">
            <w:pPr>
              <w:rPr>
                <w:rFonts w:cstheme="minorHAnsi"/>
                <w:sz w:val="19"/>
                <w:szCs w:val="19"/>
                <w:u w:val="single"/>
              </w:rPr>
            </w:pPr>
            <w:r w:rsidRPr="00DF482A">
              <w:rPr>
                <w:rFonts w:cstheme="minorHAnsi"/>
                <w:sz w:val="19"/>
                <w:szCs w:val="19"/>
              </w:rPr>
              <w:t>I</w:t>
            </w:r>
            <w:r w:rsidRPr="00DF482A">
              <w:rPr>
                <w:rFonts w:cstheme="minorHAnsi"/>
                <w:sz w:val="19"/>
                <w:szCs w:val="19"/>
                <w:u w:val="single"/>
              </w:rPr>
              <w:t>nterpreter Services</w:t>
            </w:r>
          </w:p>
          <w:p w14:paraId="4C0024E0" w14:textId="77777777" w:rsidR="007A2233" w:rsidRPr="00DF482A" w:rsidRDefault="007A2233" w:rsidP="007A2233">
            <w:pPr>
              <w:rPr>
                <w:rFonts w:cstheme="minorHAnsi"/>
                <w:sz w:val="19"/>
                <w:szCs w:val="19"/>
              </w:rPr>
            </w:pPr>
            <w:r>
              <w:rPr>
                <w:rFonts w:cstheme="minorHAnsi"/>
                <w:sz w:val="19"/>
                <w:szCs w:val="19"/>
              </w:rPr>
              <w:t>Globo Interpretation Services</w:t>
            </w:r>
          </w:p>
          <w:p w14:paraId="38A80C25" w14:textId="3C938E20" w:rsidR="00A10F14" w:rsidRPr="00A10F14" w:rsidRDefault="007A2233" w:rsidP="007A2233">
            <w:pPr>
              <w:rPr>
                <w:rFonts w:cstheme="minorHAnsi"/>
              </w:rPr>
            </w:pPr>
            <w:r>
              <w:rPr>
                <w:rFonts w:cstheme="minorHAnsi"/>
                <w:sz w:val="19"/>
                <w:szCs w:val="19"/>
              </w:rPr>
              <w:t>1-800-424-4518</w:t>
            </w:r>
          </w:p>
        </w:tc>
      </w:tr>
      <w:tr w:rsidR="00A10F14" w:rsidRPr="00A10F14" w14:paraId="60D47FED" w14:textId="77777777" w:rsidTr="00EF15B9">
        <w:tc>
          <w:tcPr>
            <w:tcW w:w="1705" w:type="dxa"/>
          </w:tcPr>
          <w:p w14:paraId="2B7DC53F" w14:textId="77777777" w:rsidR="00A10F14" w:rsidRPr="00A10F14" w:rsidRDefault="00A10F14" w:rsidP="00A10F14">
            <w:pPr>
              <w:rPr>
                <w:rFonts w:cstheme="minorHAnsi"/>
              </w:rPr>
            </w:pPr>
            <w:r w:rsidRPr="00A10F14">
              <w:rPr>
                <w:rFonts w:cstheme="minorHAnsi"/>
              </w:rPr>
              <w:t>EI Specific Email Box</w:t>
            </w:r>
          </w:p>
        </w:tc>
        <w:tc>
          <w:tcPr>
            <w:tcW w:w="3330" w:type="dxa"/>
          </w:tcPr>
          <w:p w14:paraId="1304C0E8" w14:textId="77777777" w:rsidR="00A10F14" w:rsidRPr="00A10F14" w:rsidRDefault="00A10F14" w:rsidP="00A10F14">
            <w:pPr>
              <w:rPr>
                <w:rFonts w:cstheme="minorHAnsi"/>
              </w:rPr>
            </w:pPr>
            <w:r w:rsidRPr="00A10F14">
              <w:rPr>
                <w:rFonts w:cstheme="minorHAnsi"/>
              </w:rPr>
              <w:t>Specific email contacts for submission of IFSPs, Decline to Bill Forms, etc.</w:t>
            </w:r>
          </w:p>
        </w:tc>
        <w:tc>
          <w:tcPr>
            <w:tcW w:w="3330" w:type="dxa"/>
          </w:tcPr>
          <w:p w14:paraId="38692E8B" w14:textId="77777777" w:rsidR="00A10F14" w:rsidRPr="00A10F14" w:rsidRDefault="00A10F14" w:rsidP="00A10F14">
            <w:pPr>
              <w:numPr>
                <w:ilvl w:val="0"/>
                <w:numId w:val="8"/>
              </w:numPr>
              <w:ind w:left="216" w:hanging="216"/>
              <w:contextualSpacing/>
              <w:rPr>
                <w:rFonts w:cstheme="minorHAnsi"/>
              </w:rPr>
            </w:pPr>
            <w:r w:rsidRPr="00A10F14">
              <w:rPr>
                <w:rFonts w:cstheme="minorHAnsi"/>
              </w:rPr>
              <w:t>List specific email address</w:t>
            </w:r>
          </w:p>
        </w:tc>
        <w:tc>
          <w:tcPr>
            <w:tcW w:w="10530" w:type="dxa"/>
          </w:tcPr>
          <w:p w14:paraId="166994D4"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t xml:space="preserve">We encourage providers and families to submit all documents through our fax lines below, however, the email box below is monitored daily. </w:t>
            </w:r>
          </w:p>
          <w:p w14:paraId="6B7F49D4" w14:textId="77777777" w:rsidR="007A2233" w:rsidRPr="00DF482A" w:rsidRDefault="007A2233" w:rsidP="007A2233">
            <w:pPr>
              <w:rPr>
                <w:rFonts w:eastAsia="Times New Roman" w:cstheme="minorHAnsi"/>
                <w:color w:val="000000"/>
                <w:sz w:val="20"/>
                <w:szCs w:val="20"/>
              </w:rPr>
            </w:pPr>
          </w:p>
          <w:p w14:paraId="0D40286E" w14:textId="77777777" w:rsidR="007A2233" w:rsidRPr="00DF482A" w:rsidRDefault="007A2233" w:rsidP="007A2233">
            <w:pPr>
              <w:rPr>
                <w:rFonts w:eastAsia="Times New Roman" w:cstheme="minorHAnsi"/>
                <w:color w:val="000000"/>
                <w:sz w:val="20"/>
                <w:szCs w:val="20"/>
              </w:rPr>
            </w:pPr>
            <w:r w:rsidRPr="00DF482A">
              <w:rPr>
                <w:rFonts w:eastAsia="Times New Roman" w:cstheme="minorHAnsi"/>
                <w:color w:val="000000"/>
                <w:sz w:val="20"/>
                <w:szCs w:val="20"/>
              </w:rPr>
              <w:lastRenderedPageBreak/>
              <w:t>Fax Lines</w:t>
            </w:r>
          </w:p>
          <w:p w14:paraId="715BB257" w14:textId="77777777" w:rsidR="007A2233" w:rsidRPr="002A416D" w:rsidRDefault="007A2233" w:rsidP="007A2233">
            <w:pPr>
              <w:rPr>
                <w:rFonts w:cstheme="minorHAnsi"/>
                <w:sz w:val="20"/>
                <w:szCs w:val="20"/>
                <w:shd w:val="clear" w:color="auto" w:fill="FFFFFF"/>
              </w:rPr>
            </w:pPr>
            <w:r w:rsidRPr="002A416D">
              <w:rPr>
                <w:rFonts w:cstheme="minorHAnsi"/>
                <w:sz w:val="20"/>
                <w:szCs w:val="20"/>
                <w:shd w:val="clear" w:color="auto" w:fill="FFFFFF"/>
              </w:rPr>
              <w:t>1.423.591.9127 is the local fax number</w:t>
            </w:r>
          </w:p>
          <w:p w14:paraId="65D59E27" w14:textId="77777777" w:rsidR="007A2233" w:rsidRPr="002A416D" w:rsidRDefault="007A2233" w:rsidP="007A2233">
            <w:pPr>
              <w:rPr>
                <w:rFonts w:cstheme="minorHAnsi"/>
                <w:sz w:val="20"/>
                <w:szCs w:val="20"/>
              </w:rPr>
            </w:pPr>
            <w:r w:rsidRPr="002A416D">
              <w:rPr>
                <w:rFonts w:cstheme="minorHAnsi"/>
                <w:sz w:val="20"/>
                <w:szCs w:val="20"/>
                <w:shd w:val="clear" w:color="auto" w:fill="FFFFFF"/>
              </w:rPr>
              <w:t xml:space="preserve"> 1.800.614.7934 is the toll free number</w:t>
            </w:r>
          </w:p>
          <w:p w14:paraId="4F212365" w14:textId="77777777" w:rsidR="007A2233" w:rsidRPr="002A416D" w:rsidRDefault="007A2233" w:rsidP="007A2233">
            <w:pPr>
              <w:rPr>
                <w:rFonts w:eastAsia="Times New Roman" w:cstheme="minorHAnsi"/>
                <w:color w:val="000000"/>
                <w:sz w:val="20"/>
                <w:szCs w:val="20"/>
              </w:rPr>
            </w:pPr>
          </w:p>
          <w:p w14:paraId="4557C2BE" w14:textId="77777777" w:rsidR="007A2233" w:rsidRPr="002A416D" w:rsidRDefault="007A2233" w:rsidP="007A2233">
            <w:pPr>
              <w:rPr>
                <w:rFonts w:eastAsia="Times New Roman" w:cstheme="minorHAnsi"/>
                <w:color w:val="000000"/>
                <w:sz w:val="20"/>
                <w:szCs w:val="20"/>
              </w:rPr>
            </w:pPr>
            <w:r w:rsidRPr="002A416D">
              <w:rPr>
                <w:rFonts w:eastAsia="Times New Roman" w:cstheme="minorHAnsi"/>
                <w:color w:val="000000"/>
                <w:sz w:val="20"/>
                <w:szCs w:val="20"/>
              </w:rPr>
              <w:t xml:space="preserve">Gigi Edwards- </w:t>
            </w:r>
            <w:hyperlink r:id="rId24" w:history="1">
              <w:r w:rsidRPr="002A416D">
                <w:rPr>
                  <w:rStyle w:val="Hyperlink"/>
                  <w:rFonts w:eastAsia="Times New Roman" w:cstheme="minorHAnsi"/>
                  <w:sz w:val="20"/>
                  <w:szCs w:val="20"/>
                </w:rPr>
                <w:t>germaine.edwards@molinahealthcare.com</w:t>
              </w:r>
            </w:hyperlink>
          </w:p>
          <w:p w14:paraId="5B121C4C" w14:textId="669C7FCC" w:rsidR="00A10F14" w:rsidRPr="007A2233" w:rsidRDefault="007A2233" w:rsidP="00A10F14">
            <w:pPr>
              <w:rPr>
                <w:rFonts w:eastAsia="Times New Roman" w:cstheme="minorHAnsi"/>
                <w:color w:val="000000"/>
                <w:sz w:val="20"/>
                <w:szCs w:val="20"/>
              </w:rPr>
            </w:pPr>
            <w:r w:rsidRPr="002A416D">
              <w:rPr>
                <w:rFonts w:eastAsia="Times New Roman" w:cstheme="minorHAnsi"/>
                <w:color w:val="000000"/>
                <w:sz w:val="20"/>
                <w:szCs w:val="20"/>
              </w:rPr>
              <w:t>Pamela Aldridge-pamela.aldridge@molinahealthcare.com</w:t>
            </w:r>
            <w:r w:rsidR="00A10F14" w:rsidRPr="00A10F14">
              <w:rPr>
                <w:rFonts w:eastAsia="Times New Roman" w:cstheme="minorHAnsi"/>
                <w:color w:val="000000"/>
                <w:sz w:val="20"/>
                <w:szCs w:val="20"/>
              </w:rPr>
              <w:t xml:space="preserve"> </w:t>
            </w:r>
          </w:p>
        </w:tc>
      </w:tr>
    </w:tbl>
    <w:p w14:paraId="5FD3A5BE" w14:textId="0C8A6078" w:rsidR="00A10F14" w:rsidRPr="00A10F14" w:rsidRDefault="00A10F14" w:rsidP="00A10F14">
      <w:pPr>
        <w:rPr>
          <w:rFonts w:cstheme="minorHAnsi"/>
        </w:rPr>
      </w:pPr>
    </w:p>
    <w:p w14:paraId="2562F3C7" w14:textId="6B4A2209" w:rsidR="00A10F14" w:rsidRDefault="0026262A" w:rsidP="00A10F14">
      <w:r>
        <w:rPr>
          <w:noProof/>
        </w:rPr>
        <w:drawing>
          <wp:inline distT="0" distB="0" distL="0" distR="0" wp14:anchorId="16089B1F" wp14:editId="1BE8096B">
            <wp:extent cx="1513038" cy="396875"/>
            <wp:effectExtent l="0" t="0" r="0" b="3175"/>
            <wp:docPr id="107503445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523146" cy="399526"/>
                    </a:xfrm>
                    <a:prstGeom prst="rect">
                      <a:avLst/>
                    </a:prstGeom>
                  </pic:spPr>
                </pic:pic>
              </a:graphicData>
            </a:graphic>
          </wp:inline>
        </w:drawing>
      </w:r>
    </w:p>
    <w:tbl>
      <w:tblPr>
        <w:tblStyle w:val="TableGrid"/>
        <w:tblW w:w="18895" w:type="dxa"/>
        <w:tblLook w:val="04A0" w:firstRow="1" w:lastRow="0" w:firstColumn="1" w:lastColumn="0" w:noHBand="0" w:noVBand="1"/>
      </w:tblPr>
      <w:tblGrid>
        <w:gridCol w:w="1705"/>
        <w:gridCol w:w="3330"/>
        <w:gridCol w:w="3330"/>
        <w:gridCol w:w="10530"/>
      </w:tblGrid>
      <w:tr w:rsidR="00A10F14" w:rsidRPr="00224EBE" w14:paraId="336ACF09" w14:textId="77777777" w:rsidTr="00EF15B9">
        <w:trPr>
          <w:tblHeader/>
        </w:trPr>
        <w:tc>
          <w:tcPr>
            <w:tcW w:w="1705" w:type="dxa"/>
            <w:shd w:val="clear" w:color="auto" w:fill="0099CC"/>
          </w:tcPr>
          <w:p w14:paraId="602EEBF0" w14:textId="77777777" w:rsidR="00A10F14" w:rsidRPr="00224EBE" w:rsidRDefault="00A10F14" w:rsidP="00EF15B9">
            <w:pPr>
              <w:jc w:val="center"/>
              <w:rPr>
                <w:b/>
              </w:rPr>
            </w:pPr>
            <w:r w:rsidRPr="00224EBE">
              <w:rPr>
                <w:b/>
              </w:rPr>
              <w:t>TOPIC</w:t>
            </w:r>
          </w:p>
        </w:tc>
        <w:tc>
          <w:tcPr>
            <w:tcW w:w="3330" w:type="dxa"/>
            <w:shd w:val="clear" w:color="auto" w:fill="0099CC"/>
          </w:tcPr>
          <w:p w14:paraId="031E3D71" w14:textId="77777777" w:rsidR="00A10F14" w:rsidRPr="00224EBE" w:rsidRDefault="00A10F14" w:rsidP="00EF15B9">
            <w:pPr>
              <w:jc w:val="center"/>
              <w:rPr>
                <w:b/>
              </w:rPr>
            </w:pPr>
            <w:r w:rsidRPr="00224EBE">
              <w:rPr>
                <w:b/>
              </w:rPr>
              <w:t>DESCRIPTION</w:t>
            </w:r>
          </w:p>
        </w:tc>
        <w:tc>
          <w:tcPr>
            <w:tcW w:w="3330" w:type="dxa"/>
            <w:shd w:val="clear" w:color="auto" w:fill="0099CC"/>
          </w:tcPr>
          <w:p w14:paraId="3A27D711" w14:textId="77777777" w:rsidR="00A10F14" w:rsidRPr="00224EBE" w:rsidRDefault="00A10F14" w:rsidP="00EF15B9">
            <w:pPr>
              <w:jc w:val="center"/>
              <w:rPr>
                <w:b/>
              </w:rPr>
            </w:pPr>
            <w:r>
              <w:rPr>
                <w:b/>
              </w:rPr>
              <w:t>MCO PROCESS</w:t>
            </w:r>
          </w:p>
        </w:tc>
        <w:tc>
          <w:tcPr>
            <w:tcW w:w="10530" w:type="dxa"/>
            <w:shd w:val="clear" w:color="auto" w:fill="0099CC"/>
          </w:tcPr>
          <w:p w14:paraId="257277CE" w14:textId="77777777" w:rsidR="00A10F14" w:rsidRDefault="00A10F14" w:rsidP="00EF15B9">
            <w:pPr>
              <w:jc w:val="center"/>
              <w:rPr>
                <w:b/>
              </w:rPr>
            </w:pPr>
            <w:r>
              <w:rPr>
                <w:b/>
              </w:rPr>
              <w:t>MCO RESPONSE</w:t>
            </w:r>
          </w:p>
        </w:tc>
      </w:tr>
      <w:tr w:rsidR="00A10F14" w:rsidRPr="00224EBE" w14:paraId="4392CAEA" w14:textId="77777777" w:rsidTr="00EF15B9">
        <w:trPr>
          <w:tblHeader/>
        </w:trPr>
        <w:tc>
          <w:tcPr>
            <w:tcW w:w="1705" w:type="dxa"/>
            <w:shd w:val="clear" w:color="auto" w:fill="0099CC"/>
          </w:tcPr>
          <w:p w14:paraId="239564C3" w14:textId="77777777" w:rsidR="00A10F14" w:rsidRPr="00224EBE" w:rsidRDefault="00A10F14" w:rsidP="00EF15B9">
            <w:pPr>
              <w:jc w:val="center"/>
              <w:rPr>
                <w:b/>
              </w:rPr>
            </w:pPr>
          </w:p>
        </w:tc>
        <w:tc>
          <w:tcPr>
            <w:tcW w:w="3330" w:type="dxa"/>
            <w:shd w:val="clear" w:color="auto" w:fill="0099CC"/>
          </w:tcPr>
          <w:p w14:paraId="3547542C" w14:textId="77777777" w:rsidR="00A10F14" w:rsidRPr="00224EBE" w:rsidRDefault="00A10F14" w:rsidP="00EF15B9">
            <w:pPr>
              <w:jc w:val="center"/>
              <w:rPr>
                <w:b/>
              </w:rPr>
            </w:pPr>
          </w:p>
        </w:tc>
        <w:tc>
          <w:tcPr>
            <w:tcW w:w="3330" w:type="dxa"/>
            <w:shd w:val="clear" w:color="auto" w:fill="0099CC"/>
          </w:tcPr>
          <w:p w14:paraId="0C74F2D4" w14:textId="77777777" w:rsidR="00A10F14" w:rsidRDefault="00A10F14" w:rsidP="00EF15B9">
            <w:pPr>
              <w:jc w:val="center"/>
              <w:rPr>
                <w:b/>
              </w:rPr>
            </w:pPr>
            <w:r>
              <w:rPr>
                <w:b/>
              </w:rPr>
              <w:t>MCOs shall provide a brief description for each point within the topic area</w:t>
            </w:r>
          </w:p>
        </w:tc>
        <w:tc>
          <w:tcPr>
            <w:tcW w:w="10530" w:type="dxa"/>
            <w:shd w:val="clear" w:color="auto" w:fill="0099CC"/>
          </w:tcPr>
          <w:p w14:paraId="7D94767E" w14:textId="77777777" w:rsidR="00A10F14" w:rsidRDefault="00A10F14" w:rsidP="00EF15B9">
            <w:pPr>
              <w:jc w:val="center"/>
              <w:rPr>
                <w:b/>
              </w:rPr>
            </w:pPr>
          </w:p>
        </w:tc>
      </w:tr>
      <w:tr w:rsidR="00A10F14" w:rsidRPr="00306D25" w14:paraId="66F694B1" w14:textId="77777777" w:rsidTr="00EF15B9">
        <w:tc>
          <w:tcPr>
            <w:tcW w:w="1705" w:type="dxa"/>
          </w:tcPr>
          <w:p w14:paraId="717F58AF" w14:textId="77777777" w:rsidR="00A10F14" w:rsidRPr="00F61B3B" w:rsidRDefault="00A10F14" w:rsidP="00EF15B9">
            <w:pPr>
              <w:rPr>
                <w:rFonts w:cstheme="minorHAnsi"/>
              </w:rPr>
            </w:pPr>
            <w:r w:rsidRPr="00F61B3B">
              <w:rPr>
                <w:rFonts w:cstheme="minorHAnsi"/>
              </w:rPr>
              <w:t>MCO Credentialing and Contracting</w:t>
            </w:r>
          </w:p>
        </w:tc>
        <w:tc>
          <w:tcPr>
            <w:tcW w:w="3330" w:type="dxa"/>
          </w:tcPr>
          <w:p w14:paraId="3D7A1E12" w14:textId="77777777" w:rsidR="00A10F14" w:rsidRPr="00F61B3B" w:rsidRDefault="00A10F14" w:rsidP="00EF15B9">
            <w:pPr>
              <w:rPr>
                <w:rFonts w:cstheme="minorHAnsi"/>
              </w:rPr>
            </w:pPr>
            <w:r w:rsidRPr="00F61B3B">
              <w:rPr>
                <w:rFonts w:eastAsia="Times New Roman" w:cstheme="minorHAnsi"/>
                <w:color w:val="000000"/>
                <w:sz w:val="20"/>
                <w:szCs w:val="20"/>
              </w:rPr>
              <w:t xml:space="preserve">All EI providers must be credentialed and contracted by each MCO in order to provide services to members enrolled with the MCO.             </w:t>
            </w:r>
            <w:r w:rsidRPr="00F61B3B">
              <w:rPr>
                <w:rFonts w:eastAsia="Times New Roman" w:cstheme="minorHAnsi"/>
                <w:color w:val="000000"/>
                <w:sz w:val="20"/>
                <w:szCs w:val="20"/>
              </w:rPr>
              <w:br/>
            </w:r>
            <w:r w:rsidRPr="00F61B3B">
              <w:rPr>
                <w:rFonts w:eastAsia="Times New Roman" w:cstheme="minorHAnsi"/>
                <w:color w:val="000000"/>
                <w:sz w:val="20"/>
                <w:szCs w:val="20"/>
              </w:rPr>
              <w:br/>
              <w:t>All EI providers must be certified by DBHDS and affiliated with a LLA prior to the MCO credentialing and contracting process.</w:t>
            </w:r>
            <w:r w:rsidRPr="00F61B3B">
              <w:rPr>
                <w:rFonts w:eastAsia="Times New Roman" w:cstheme="minorHAnsi"/>
                <w:color w:val="000000"/>
                <w:sz w:val="20"/>
                <w:szCs w:val="20"/>
              </w:rPr>
              <w:br/>
            </w:r>
          </w:p>
        </w:tc>
        <w:tc>
          <w:tcPr>
            <w:tcW w:w="3330" w:type="dxa"/>
          </w:tcPr>
          <w:p w14:paraId="10E072FB" w14:textId="77777777" w:rsidR="00A10F14" w:rsidRPr="00F61B3B" w:rsidRDefault="00A10F14" w:rsidP="00A10F14">
            <w:pPr>
              <w:pStyle w:val="ListParagraph"/>
              <w:numPr>
                <w:ilvl w:val="0"/>
                <w:numId w:val="2"/>
              </w:numPr>
              <w:ind w:left="216" w:hanging="216"/>
              <w:rPr>
                <w:rFonts w:eastAsia="Times New Roman" w:cstheme="minorHAnsi"/>
                <w:color w:val="000000"/>
                <w:sz w:val="20"/>
                <w:szCs w:val="20"/>
              </w:rPr>
            </w:pPr>
            <w:r w:rsidRPr="00F61B3B">
              <w:rPr>
                <w:rFonts w:eastAsia="Times New Roman" w:cstheme="minorHAnsi"/>
                <w:color w:val="000000"/>
                <w:sz w:val="20"/>
                <w:szCs w:val="20"/>
              </w:rPr>
              <w:t>Credentialing process</w:t>
            </w:r>
          </w:p>
          <w:p w14:paraId="0DA7C3E1" w14:textId="77777777" w:rsidR="00A10F14" w:rsidRPr="00F61B3B" w:rsidRDefault="00A10F14" w:rsidP="00A10F14">
            <w:pPr>
              <w:pStyle w:val="ListParagraph"/>
              <w:numPr>
                <w:ilvl w:val="0"/>
                <w:numId w:val="2"/>
              </w:numPr>
              <w:ind w:left="216" w:hanging="216"/>
              <w:rPr>
                <w:rFonts w:eastAsia="Times New Roman" w:cstheme="minorHAnsi"/>
                <w:color w:val="000000"/>
                <w:sz w:val="20"/>
                <w:szCs w:val="20"/>
              </w:rPr>
            </w:pPr>
            <w:r w:rsidRPr="00F61B3B">
              <w:rPr>
                <w:rFonts w:eastAsia="Times New Roman" w:cstheme="minorHAnsi"/>
                <w:color w:val="000000"/>
                <w:sz w:val="20"/>
                <w:szCs w:val="20"/>
              </w:rPr>
              <w:t>CAQH process</w:t>
            </w:r>
          </w:p>
          <w:p w14:paraId="78124728" w14:textId="77777777" w:rsidR="00A10F14" w:rsidRPr="00F61B3B" w:rsidRDefault="00A10F14" w:rsidP="00A10F14">
            <w:pPr>
              <w:pStyle w:val="ListParagraph"/>
              <w:numPr>
                <w:ilvl w:val="0"/>
                <w:numId w:val="2"/>
              </w:numPr>
              <w:ind w:left="216" w:hanging="216"/>
              <w:rPr>
                <w:rFonts w:eastAsia="Times New Roman" w:cstheme="minorHAnsi"/>
                <w:color w:val="000000"/>
                <w:sz w:val="20"/>
                <w:szCs w:val="20"/>
              </w:rPr>
            </w:pPr>
            <w:r w:rsidRPr="00F61B3B">
              <w:rPr>
                <w:rFonts w:eastAsia="Times New Roman" w:cstheme="minorHAnsi"/>
                <w:color w:val="000000"/>
                <w:sz w:val="20"/>
                <w:szCs w:val="20"/>
              </w:rPr>
              <w:t>Contracting process</w:t>
            </w:r>
          </w:p>
          <w:p w14:paraId="7040C11D" w14:textId="77777777" w:rsidR="00A10F14" w:rsidRPr="00F61B3B" w:rsidRDefault="00A10F14" w:rsidP="00A10F14">
            <w:pPr>
              <w:pStyle w:val="ListParagraph"/>
              <w:numPr>
                <w:ilvl w:val="0"/>
                <w:numId w:val="2"/>
              </w:numPr>
              <w:ind w:left="216" w:hanging="216"/>
              <w:rPr>
                <w:rFonts w:eastAsia="Times New Roman" w:cstheme="minorHAnsi"/>
                <w:color w:val="000000"/>
                <w:sz w:val="20"/>
                <w:szCs w:val="20"/>
              </w:rPr>
            </w:pPr>
            <w:r w:rsidRPr="00F61B3B">
              <w:rPr>
                <w:rFonts w:eastAsia="Times New Roman" w:cstheme="minorHAnsi"/>
                <w:color w:val="000000"/>
                <w:sz w:val="20"/>
                <w:szCs w:val="20"/>
              </w:rPr>
              <w:t>Credentialing and contracting educators and other non-traditional disciplines</w:t>
            </w:r>
          </w:p>
          <w:p w14:paraId="7F3D71D6" w14:textId="77777777" w:rsidR="00A10F14" w:rsidRPr="00F61B3B" w:rsidRDefault="00A10F14" w:rsidP="00A10F14">
            <w:pPr>
              <w:pStyle w:val="ListParagraph"/>
              <w:numPr>
                <w:ilvl w:val="0"/>
                <w:numId w:val="2"/>
              </w:numPr>
              <w:ind w:left="216" w:hanging="216"/>
              <w:rPr>
                <w:rFonts w:eastAsia="Times New Roman" w:cstheme="minorHAnsi"/>
                <w:color w:val="000000"/>
                <w:sz w:val="20"/>
                <w:szCs w:val="20"/>
              </w:rPr>
            </w:pPr>
            <w:r w:rsidRPr="00F61B3B">
              <w:rPr>
                <w:rFonts w:eastAsia="Times New Roman" w:cstheme="minorHAnsi"/>
                <w:color w:val="000000"/>
                <w:sz w:val="20"/>
                <w:szCs w:val="20"/>
              </w:rPr>
              <w:t>Credentialing and contracting service coordinators</w:t>
            </w:r>
          </w:p>
          <w:p w14:paraId="73452C21" w14:textId="77777777" w:rsidR="00A10F14" w:rsidRPr="00F61B3B" w:rsidRDefault="00A10F14" w:rsidP="00A10F14">
            <w:pPr>
              <w:pStyle w:val="ListParagraph"/>
              <w:numPr>
                <w:ilvl w:val="0"/>
                <w:numId w:val="2"/>
              </w:numPr>
              <w:ind w:left="216" w:hanging="216"/>
              <w:rPr>
                <w:rFonts w:eastAsia="Times New Roman" w:cstheme="minorHAnsi"/>
                <w:color w:val="000000"/>
                <w:sz w:val="20"/>
                <w:szCs w:val="20"/>
              </w:rPr>
            </w:pPr>
            <w:r w:rsidRPr="00F61B3B">
              <w:rPr>
                <w:rFonts w:eastAsia="Times New Roman" w:cstheme="minorHAnsi"/>
                <w:color w:val="000000"/>
                <w:sz w:val="20"/>
                <w:szCs w:val="20"/>
              </w:rPr>
              <w:t>Handling of out-of-network providers</w:t>
            </w:r>
          </w:p>
        </w:tc>
        <w:tc>
          <w:tcPr>
            <w:tcW w:w="10530" w:type="dxa"/>
          </w:tcPr>
          <w:p w14:paraId="3FBAE4E6" w14:textId="55156AD6" w:rsidR="00A10F14" w:rsidRPr="00F61B3B" w:rsidRDefault="0026262A" w:rsidP="00EF15B9">
            <w:pPr>
              <w:rPr>
                <w:rFonts w:eastAsia="Times New Roman" w:cstheme="minorHAnsi"/>
                <w:color w:val="000000"/>
                <w:sz w:val="20"/>
                <w:szCs w:val="20"/>
              </w:rPr>
            </w:pPr>
            <w:r w:rsidRPr="00F61B3B">
              <w:rPr>
                <w:rFonts w:eastAsia="Times New Roman" w:cstheme="minorHAnsi"/>
                <w:color w:val="000000"/>
                <w:sz w:val="20"/>
                <w:szCs w:val="20"/>
              </w:rPr>
              <w:t xml:space="preserve">Sentara Health Plans </w:t>
            </w:r>
            <w:r w:rsidR="00A10F14" w:rsidRPr="00F61B3B">
              <w:rPr>
                <w:rFonts w:eastAsia="Times New Roman" w:cstheme="minorHAnsi"/>
                <w:color w:val="000000"/>
                <w:sz w:val="20"/>
                <w:szCs w:val="20"/>
              </w:rPr>
              <w:t>does not “credential” Early Intervention Providers, but rather a validation process that includes:</w:t>
            </w:r>
          </w:p>
          <w:p w14:paraId="7FEC2F95" w14:textId="77777777" w:rsidR="00A10F14" w:rsidRPr="00F61B3B" w:rsidRDefault="00A10F14" w:rsidP="00A10F14">
            <w:pPr>
              <w:pStyle w:val="ListParagraph"/>
              <w:numPr>
                <w:ilvl w:val="0"/>
                <w:numId w:val="15"/>
              </w:numPr>
              <w:rPr>
                <w:rFonts w:eastAsia="Times New Roman" w:cstheme="minorHAnsi"/>
                <w:color w:val="000000"/>
                <w:sz w:val="20"/>
                <w:szCs w:val="20"/>
              </w:rPr>
            </w:pPr>
            <w:r w:rsidRPr="00F61B3B">
              <w:rPr>
                <w:rFonts w:eastAsia="Times New Roman" w:cstheme="minorHAnsi"/>
                <w:color w:val="000000"/>
                <w:sz w:val="20"/>
                <w:szCs w:val="20"/>
              </w:rPr>
              <w:t>Verification of licensure</w:t>
            </w:r>
          </w:p>
          <w:p w14:paraId="22EA53C7" w14:textId="77777777" w:rsidR="00A10F14" w:rsidRPr="00F61B3B" w:rsidRDefault="00A10F14" w:rsidP="00A10F14">
            <w:pPr>
              <w:pStyle w:val="ListParagraph"/>
              <w:numPr>
                <w:ilvl w:val="0"/>
                <w:numId w:val="15"/>
              </w:numPr>
              <w:rPr>
                <w:rFonts w:eastAsia="Times New Roman" w:cstheme="minorHAnsi"/>
                <w:color w:val="000000"/>
                <w:sz w:val="20"/>
                <w:szCs w:val="20"/>
              </w:rPr>
            </w:pPr>
            <w:r w:rsidRPr="00F61B3B">
              <w:rPr>
                <w:rFonts w:eastAsia="Times New Roman" w:cstheme="minorHAnsi"/>
                <w:color w:val="000000"/>
                <w:sz w:val="20"/>
                <w:szCs w:val="20"/>
              </w:rPr>
              <w:t>Verification of Professional Liability Insurance</w:t>
            </w:r>
          </w:p>
          <w:p w14:paraId="129CBB75" w14:textId="77777777" w:rsidR="00A10F14" w:rsidRPr="00F61B3B" w:rsidRDefault="00A10F14" w:rsidP="00A10F14">
            <w:pPr>
              <w:pStyle w:val="ListParagraph"/>
              <w:numPr>
                <w:ilvl w:val="0"/>
                <w:numId w:val="15"/>
              </w:numPr>
              <w:rPr>
                <w:rFonts w:eastAsia="Times New Roman" w:cstheme="minorHAnsi"/>
                <w:color w:val="000000"/>
                <w:sz w:val="20"/>
                <w:szCs w:val="20"/>
              </w:rPr>
            </w:pPr>
            <w:r w:rsidRPr="00F61B3B">
              <w:rPr>
                <w:rFonts w:eastAsia="Times New Roman" w:cstheme="minorHAnsi"/>
                <w:color w:val="000000"/>
                <w:sz w:val="20"/>
                <w:szCs w:val="20"/>
              </w:rPr>
              <w:t>Verification of participation with DMAS</w:t>
            </w:r>
          </w:p>
          <w:p w14:paraId="21D039E4" w14:textId="77777777" w:rsidR="00A10F14" w:rsidRPr="00F61B3B" w:rsidRDefault="00A10F14" w:rsidP="00A10F14">
            <w:pPr>
              <w:pStyle w:val="ListParagraph"/>
              <w:numPr>
                <w:ilvl w:val="0"/>
                <w:numId w:val="15"/>
              </w:numPr>
              <w:rPr>
                <w:rFonts w:eastAsia="Times New Roman" w:cstheme="minorHAnsi"/>
                <w:color w:val="000000"/>
                <w:sz w:val="20"/>
                <w:szCs w:val="20"/>
              </w:rPr>
            </w:pPr>
            <w:r w:rsidRPr="00F61B3B">
              <w:rPr>
                <w:rFonts w:eastAsia="Times New Roman" w:cstheme="minorHAnsi"/>
                <w:color w:val="000000"/>
                <w:sz w:val="20"/>
                <w:szCs w:val="20"/>
              </w:rPr>
              <w:t>Certified as Early Intervention by DBHDS</w:t>
            </w:r>
          </w:p>
          <w:p w14:paraId="4C49B71F" w14:textId="77777777" w:rsidR="00A10F14" w:rsidRPr="00F61B3B" w:rsidRDefault="00A10F14" w:rsidP="00A10F14">
            <w:pPr>
              <w:pStyle w:val="ListParagraph"/>
              <w:numPr>
                <w:ilvl w:val="0"/>
                <w:numId w:val="15"/>
              </w:numPr>
              <w:rPr>
                <w:rFonts w:eastAsia="Times New Roman" w:cstheme="minorHAnsi"/>
                <w:color w:val="000000"/>
                <w:sz w:val="20"/>
                <w:szCs w:val="20"/>
              </w:rPr>
            </w:pPr>
            <w:r w:rsidRPr="00F61B3B">
              <w:rPr>
                <w:rFonts w:eastAsia="Times New Roman" w:cstheme="minorHAnsi"/>
                <w:color w:val="000000"/>
                <w:sz w:val="20"/>
                <w:szCs w:val="20"/>
              </w:rPr>
              <w:t>Verification that EI provider is affiliated with a LLA – through the rosters</w:t>
            </w:r>
          </w:p>
          <w:p w14:paraId="4302EB31" w14:textId="77777777" w:rsidR="00A10F14" w:rsidRPr="00F61B3B" w:rsidRDefault="00A10F14" w:rsidP="00EF15B9">
            <w:pPr>
              <w:rPr>
                <w:rFonts w:eastAsia="Times New Roman" w:cstheme="minorHAnsi"/>
                <w:color w:val="000000"/>
                <w:sz w:val="20"/>
                <w:szCs w:val="20"/>
              </w:rPr>
            </w:pPr>
          </w:p>
          <w:p w14:paraId="620582DA" w14:textId="5B699556" w:rsidR="00A10F14" w:rsidRPr="00F61B3B" w:rsidRDefault="0026262A" w:rsidP="00EF15B9">
            <w:pPr>
              <w:rPr>
                <w:rFonts w:eastAsia="Times New Roman" w:cstheme="minorHAnsi"/>
                <w:b/>
                <w:color w:val="FF0000"/>
                <w:sz w:val="20"/>
                <w:szCs w:val="20"/>
              </w:rPr>
            </w:pPr>
            <w:r w:rsidRPr="00F61B3B">
              <w:rPr>
                <w:rFonts w:eastAsia="Times New Roman" w:cstheme="minorHAnsi"/>
                <w:color w:val="000000"/>
                <w:sz w:val="20"/>
                <w:szCs w:val="20"/>
              </w:rPr>
              <w:t>Sentara Health Plans</w:t>
            </w:r>
            <w:r w:rsidR="00A10F14" w:rsidRPr="00F61B3B">
              <w:rPr>
                <w:rFonts w:eastAsia="Times New Roman" w:cstheme="minorHAnsi"/>
                <w:color w:val="000000"/>
                <w:sz w:val="20"/>
                <w:szCs w:val="20"/>
              </w:rPr>
              <w:t xml:space="preserve"> requires that the EI provider contact Ashley Shell at ANBATES@Sentara.com, to obtain the application for completion.  Once verification has been completed, the provider will be sent a contract for their review and execution. </w:t>
            </w:r>
          </w:p>
          <w:p w14:paraId="0879CD0D" w14:textId="77777777" w:rsidR="00A10F14" w:rsidRPr="00F61B3B" w:rsidRDefault="00A10F14" w:rsidP="00EF15B9">
            <w:pPr>
              <w:rPr>
                <w:rFonts w:eastAsia="Times New Roman" w:cstheme="minorHAnsi"/>
                <w:sz w:val="20"/>
                <w:szCs w:val="20"/>
              </w:rPr>
            </w:pPr>
            <w:r w:rsidRPr="00F61B3B">
              <w:rPr>
                <w:rFonts w:eastAsia="Times New Roman" w:cstheme="minorHAnsi"/>
                <w:sz w:val="20"/>
                <w:szCs w:val="20"/>
              </w:rPr>
              <w:t xml:space="preserve">If the provider requesting credentialing and contracting is on the identified Local Lead Agency roster, the verification/contracting process takes approximately 30 to 60 days from the date of completed information.  The process can take longer if outreach is needed to the Local Lead Agency on verification of affiliation, no longer than 90 days all together.  </w:t>
            </w:r>
          </w:p>
          <w:p w14:paraId="43BC15C2" w14:textId="77777777" w:rsidR="00A10F14" w:rsidRPr="00F61B3B" w:rsidRDefault="00A10F14" w:rsidP="00EF15B9">
            <w:pPr>
              <w:rPr>
                <w:rFonts w:eastAsia="Times New Roman" w:cstheme="minorHAnsi"/>
                <w:color w:val="000000"/>
                <w:sz w:val="20"/>
                <w:szCs w:val="20"/>
              </w:rPr>
            </w:pPr>
          </w:p>
          <w:p w14:paraId="219B897F" w14:textId="28B7E4CE" w:rsidR="00A10F14" w:rsidRPr="00F61B3B" w:rsidRDefault="0026262A" w:rsidP="00EF15B9">
            <w:pPr>
              <w:rPr>
                <w:rFonts w:eastAsia="Times New Roman" w:cstheme="minorHAnsi"/>
                <w:color w:val="000000"/>
                <w:sz w:val="20"/>
                <w:szCs w:val="20"/>
              </w:rPr>
            </w:pPr>
            <w:r w:rsidRPr="00F61B3B">
              <w:rPr>
                <w:rFonts w:eastAsia="Times New Roman" w:cstheme="minorHAnsi"/>
                <w:color w:val="000000"/>
                <w:sz w:val="20"/>
                <w:szCs w:val="20"/>
              </w:rPr>
              <w:t xml:space="preserve">Sentara Health Plans </w:t>
            </w:r>
            <w:r w:rsidR="00A10F14" w:rsidRPr="00F61B3B">
              <w:rPr>
                <w:rFonts w:eastAsia="Times New Roman" w:cstheme="minorHAnsi"/>
                <w:color w:val="000000"/>
                <w:sz w:val="20"/>
                <w:szCs w:val="20"/>
              </w:rPr>
              <w:t xml:space="preserve">will require that all non-participating (any provider that is not contracted with the MCO) providers obtain an out of network authorization.  Otherwise, claims will deny for not participating. Providers are considered non-participating until they are credentialed. </w:t>
            </w:r>
          </w:p>
        </w:tc>
      </w:tr>
      <w:tr w:rsidR="00A10F14" w:rsidRPr="00306D25" w14:paraId="48C85D47" w14:textId="77777777" w:rsidTr="00EF15B9">
        <w:tc>
          <w:tcPr>
            <w:tcW w:w="1705" w:type="dxa"/>
          </w:tcPr>
          <w:p w14:paraId="1CB3360D" w14:textId="77777777" w:rsidR="00A10F14" w:rsidRPr="00306D25" w:rsidRDefault="00A10F14" w:rsidP="00EF15B9">
            <w:pPr>
              <w:rPr>
                <w:rFonts w:cstheme="minorHAnsi"/>
              </w:rPr>
            </w:pPr>
            <w:r w:rsidRPr="00306D25">
              <w:rPr>
                <w:rFonts w:cstheme="minorHAnsi"/>
              </w:rPr>
              <w:t>Malpractice Insurance for Educators</w:t>
            </w:r>
          </w:p>
        </w:tc>
        <w:tc>
          <w:tcPr>
            <w:tcW w:w="3330" w:type="dxa"/>
          </w:tcPr>
          <w:p w14:paraId="222D4BD8" w14:textId="77777777" w:rsidR="00A10F14" w:rsidRPr="00306D25" w:rsidRDefault="00A10F14" w:rsidP="00EF15B9">
            <w:pPr>
              <w:rPr>
                <w:rFonts w:cstheme="minorHAnsi"/>
              </w:rPr>
            </w:pPr>
            <w:r w:rsidRPr="00306D25">
              <w:rPr>
                <w:rFonts w:cstheme="minorHAnsi"/>
              </w:rPr>
              <w:t>Providers must have malpractice insurance if they are not covered by the local system.</w:t>
            </w:r>
          </w:p>
        </w:tc>
        <w:tc>
          <w:tcPr>
            <w:tcW w:w="3330" w:type="dxa"/>
          </w:tcPr>
          <w:p w14:paraId="3EC35D02" w14:textId="77777777" w:rsidR="00A10F14" w:rsidRPr="00306D25" w:rsidRDefault="00A10F14" w:rsidP="00A10F14">
            <w:pPr>
              <w:pStyle w:val="ListParagraph"/>
              <w:numPr>
                <w:ilvl w:val="0"/>
                <w:numId w:val="3"/>
              </w:numPr>
              <w:ind w:left="216" w:hanging="216"/>
              <w:rPr>
                <w:rFonts w:cstheme="minorHAnsi"/>
              </w:rPr>
            </w:pPr>
            <w:r w:rsidRPr="00306D25">
              <w:rPr>
                <w:rFonts w:cstheme="minorHAnsi"/>
              </w:rPr>
              <w:t xml:space="preserve">Requirements related to malpractice insurance for educators and non-traditional disciplines </w:t>
            </w:r>
          </w:p>
        </w:tc>
        <w:tc>
          <w:tcPr>
            <w:tcW w:w="10530" w:type="dxa"/>
          </w:tcPr>
          <w:p w14:paraId="67D3F0C3" w14:textId="4A90CE40" w:rsidR="00A10F14" w:rsidRPr="00306D25" w:rsidRDefault="0026262A" w:rsidP="00EF15B9">
            <w:pPr>
              <w:rPr>
                <w:rFonts w:cstheme="minorHAnsi"/>
              </w:rPr>
            </w:pPr>
            <w:r>
              <w:rPr>
                <w:rFonts w:eastAsia="Times New Roman" w:cstheme="minorHAnsi"/>
                <w:color w:val="000000"/>
                <w:sz w:val="20"/>
                <w:szCs w:val="20"/>
              </w:rPr>
              <w:t xml:space="preserve">Sentara Health Plans </w:t>
            </w:r>
            <w:r w:rsidR="00A10F14" w:rsidRPr="00306D25">
              <w:rPr>
                <w:rFonts w:cstheme="minorHAnsi"/>
              </w:rPr>
              <w:t>requires that the provider have the Virginia Cap Amounts either through their professional liability or malpractice is under the Excess/Umbrella policy.  There are exceptions allowed in instances where the Virginia Cap does not apply (non-professionals).</w:t>
            </w:r>
          </w:p>
        </w:tc>
      </w:tr>
      <w:tr w:rsidR="00A10F14" w:rsidRPr="00306D25" w14:paraId="11DCA547" w14:textId="77777777" w:rsidTr="00EF15B9">
        <w:tc>
          <w:tcPr>
            <w:tcW w:w="1705" w:type="dxa"/>
          </w:tcPr>
          <w:p w14:paraId="49AF50F9" w14:textId="77777777" w:rsidR="00A10F14" w:rsidRPr="00306D25" w:rsidRDefault="00A10F14" w:rsidP="00EF15B9">
            <w:pPr>
              <w:rPr>
                <w:rFonts w:cstheme="minorHAnsi"/>
              </w:rPr>
            </w:pPr>
            <w:r w:rsidRPr="00306D25">
              <w:rPr>
                <w:rFonts w:cstheme="minorHAnsi"/>
              </w:rPr>
              <w:lastRenderedPageBreak/>
              <w:t>IFSP</w:t>
            </w:r>
          </w:p>
        </w:tc>
        <w:tc>
          <w:tcPr>
            <w:tcW w:w="3330" w:type="dxa"/>
          </w:tcPr>
          <w:p w14:paraId="65C234AD" w14:textId="77777777" w:rsidR="00A10F14" w:rsidRPr="00306D25" w:rsidRDefault="00A10F14" w:rsidP="00EF15B9">
            <w:pPr>
              <w:rPr>
                <w:rFonts w:cstheme="minorHAnsi"/>
              </w:rPr>
            </w:pPr>
            <w:r w:rsidRPr="00306D25">
              <w:rPr>
                <w:rFonts w:cstheme="minorHAnsi"/>
              </w:rPr>
              <w:t xml:space="preserve">IFSP must be on file with the MCO for the claim to be considered a Clean Claim. </w:t>
            </w:r>
          </w:p>
          <w:p w14:paraId="666BB0FB" w14:textId="77777777" w:rsidR="00A10F14" w:rsidRPr="00306D25" w:rsidRDefault="00A10F14" w:rsidP="00EF15B9">
            <w:pPr>
              <w:rPr>
                <w:rFonts w:cstheme="minorHAnsi"/>
              </w:rPr>
            </w:pPr>
          </w:p>
          <w:p w14:paraId="4C7168BF" w14:textId="77777777" w:rsidR="00A10F14" w:rsidRPr="00306D25" w:rsidRDefault="00A10F14" w:rsidP="00EF15B9">
            <w:pPr>
              <w:rPr>
                <w:rFonts w:cstheme="minorHAnsi"/>
              </w:rPr>
            </w:pPr>
            <w:r w:rsidRPr="00306D25">
              <w:rPr>
                <w:rFonts w:cstheme="minorHAnsi"/>
              </w:rPr>
              <w:t>If the IFSP is not on file with the MCO prior to the MCO receiving the claim, the claim will not be considered clean and the 14-day timeframe does not apply.</w:t>
            </w:r>
          </w:p>
        </w:tc>
        <w:tc>
          <w:tcPr>
            <w:tcW w:w="3330" w:type="dxa"/>
          </w:tcPr>
          <w:p w14:paraId="35CC3FE1" w14:textId="77777777" w:rsidR="00A10F14" w:rsidRPr="00306D25" w:rsidRDefault="00A10F14" w:rsidP="00A10F14">
            <w:pPr>
              <w:pStyle w:val="ListParagraph"/>
              <w:numPr>
                <w:ilvl w:val="0"/>
                <w:numId w:val="3"/>
              </w:numPr>
              <w:ind w:left="216" w:hanging="216"/>
              <w:rPr>
                <w:rFonts w:cstheme="minorHAnsi"/>
              </w:rPr>
            </w:pPr>
            <w:r w:rsidRPr="00306D25">
              <w:rPr>
                <w:rFonts w:cstheme="minorHAnsi"/>
              </w:rPr>
              <w:t>Method for LLAs to submit IFSP (fax, email) with the specific contact information</w:t>
            </w:r>
          </w:p>
          <w:p w14:paraId="77BB6211" w14:textId="77777777" w:rsidR="00A10F14" w:rsidRPr="00306D25" w:rsidRDefault="00A10F14" w:rsidP="00A10F14">
            <w:pPr>
              <w:pStyle w:val="ListParagraph"/>
              <w:numPr>
                <w:ilvl w:val="0"/>
                <w:numId w:val="3"/>
              </w:numPr>
              <w:ind w:left="216" w:hanging="216"/>
              <w:rPr>
                <w:rFonts w:cstheme="minorHAnsi"/>
              </w:rPr>
            </w:pPr>
            <w:r w:rsidRPr="00306D25">
              <w:rPr>
                <w:rFonts w:cstheme="minorHAnsi"/>
              </w:rPr>
              <w:t>Submission process of multiple IFSPs, i.e., batch or individual files</w:t>
            </w:r>
          </w:p>
          <w:p w14:paraId="6AAE2361" w14:textId="77777777" w:rsidR="00A10F14" w:rsidRPr="00306D25" w:rsidRDefault="00A10F14" w:rsidP="00A10F14">
            <w:pPr>
              <w:pStyle w:val="ListParagraph"/>
              <w:numPr>
                <w:ilvl w:val="0"/>
                <w:numId w:val="3"/>
              </w:numPr>
              <w:ind w:left="216" w:hanging="216"/>
              <w:rPr>
                <w:rFonts w:cstheme="minorHAnsi"/>
              </w:rPr>
            </w:pPr>
            <w:r w:rsidRPr="00306D25">
              <w:rPr>
                <w:rFonts w:cstheme="minorHAnsi"/>
              </w:rPr>
              <w:t>Confirmation of receipt of IFSP</w:t>
            </w:r>
          </w:p>
        </w:tc>
        <w:tc>
          <w:tcPr>
            <w:tcW w:w="10530" w:type="dxa"/>
          </w:tcPr>
          <w:p w14:paraId="35902E29" w14:textId="6C85D1DF" w:rsidR="00A10F14" w:rsidRPr="00306D25" w:rsidRDefault="0026262A" w:rsidP="00EF15B9">
            <w:pPr>
              <w:rPr>
                <w:rFonts w:cstheme="minorHAnsi"/>
              </w:rPr>
            </w:pPr>
            <w:r>
              <w:rPr>
                <w:rFonts w:eastAsia="Times New Roman" w:cstheme="minorHAnsi"/>
                <w:color w:val="000000"/>
                <w:sz w:val="20"/>
                <w:szCs w:val="20"/>
              </w:rPr>
              <w:t>Sentara Health Plans</w:t>
            </w:r>
            <w:r w:rsidR="00A10F14" w:rsidRPr="00306D25">
              <w:rPr>
                <w:rFonts w:cstheme="minorHAnsi"/>
              </w:rPr>
              <w:t xml:space="preserve"> prefers faxed IFSP individually.  Confirmation of the fax is the sender’s response of successful transmission.</w:t>
            </w:r>
          </w:p>
          <w:p w14:paraId="7747A046" w14:textId="77777777" w:rsidR="00A10F14" w:rsidRPr="00306D25" w:rsidRDefault="00A10F14" w:rsidP="00EF15B9">
            <w:pPr>
              <w:rPr>
                <w:rFonts w:cstheme="minorHAnsi"/>
              </w:rPr>
            </w:pPr>
            <w:r w:rsidRPr="00306D25">
              <w:rPr>
                <w:rFonts w:cstheme="minorHAnsi"/>
              </w:rPr>
              <w:t>757-390-4449</w:t>
            </w:r>
          </w:p>
        </w:tc>
      </w:tr>
      <w:tr w:rsidR="00A10F14" w:rsidRPr="00306D25" w14:paraId="688D499E" w14:textId="77777777" w:rsidTr="00EF15B9">
        <w:tc>
          <w:tcPr>
            <w:tcW w:w="1705" w:type="dxa"/>
          </w:tcPr>
          <w:p w14:paraId="58BD5468" w14:textId="77777777" w:rsidR="00A10F14" w:rsidRPr="00306D25" w:rsidRDefault="00A10F14" w:rsidP="00EF15B9">
            <w:pPr>
              <w:rPr>
                <w:rFonts w:cstheme="minorHAnsi"/>
              </w:rPr>
            </w:pPr>
            <w:r w:rsidRPr="00306D25">
              <w:rPr>
                <w:rFonts w:cstheme="minorHAnsi"/>
              </w:rPr>
              <w:t>Clean Claim</w:t>
            </w:r>
          </w:p>
        </w:tc>
        <w:tc>
          <w:tcPr>
            <w:tcW w:w="3330" w:type="dxa"/>
          </w:tcPr>
          <w:p w14:paraId="725BFBC9" w14:textId="77777777" w:rsidR="00A10F14" w:rsidRPr="00306D25" w:rsidRDefault="00A10F14" w:rsidP="00EF15B9">
            <w:pPr>
              <w:rPr>
                <w:rFonts w:cstheme="minorHAnsi"/>
              </w:rPr>
            </w:pPr>
            <w:r w:rsidRPr="00306D25">
              <w:rPr>
                <w:rFonts w:cstheme="minorHAnsi"/>
              </w:rPr>
              <w:t>Clean claims must be paid within 14 days.</w:t>
            </w:r>
          </w:p>
        </w:tc>
        <w:tc>
          <w:tcPr>
            <w:tcW w:w="3330" w:type="dxa"/>
          </w:tcPr>
          <w:p w14:paraId="4DD73E56" w14:textId="77777777" w:rsidR="00A10F14" w:rsidRPr="00306D25" w:rsidRDefault="00A10F14" w:rsidP="00A10F14">
            <w:pPr>
              <w:pStyle w:val="ListParagraph"/>
              <w:numPr>
                <w:ilvl w:val="0"/>
                <w:numId w:val="4"/>
              </w:numPr>
              <w:ind w:left="216" w:hanging="216"/>
              <w:rPr>
                <w:rFonts w:cstheme="minorHAnsi"/>
              </w:rPr>
            </w:pPr>
            <w:r w:rsidRPr="00306D25">
              <w:rPr>
                <w:rFonts w:cstheme="minorHAnsi"/>
              </w:rPr>
              <w:t>Process for non-clean claims, i.e., rejected or denied</w:t>
            </w:r>
          </w:p>
          <w:p w14:paraId="557F4DDF" w14:textId="77777777" w:rsidR="00A10F14" w:rsidRPr="00306D25" w:rsidRDefault="00A10F14" w:rsidP="00A10F14">
            <w:pPr>
              <w:pStyle w:val="ListParagraph"/>
              <w:numPr>
                <w:ilvl w:val="0"/>
                <w:numId w:val="4"/>
              </w:numPr>
              <w:ind w:left="216" w:hanging="216"/>
              <w:rPr>
                <w:rFonts w:cstheme="minorHAnsi"/>
              </w:rPr>
            </w:pPr>
            <w:r w:rsidRPr="00306D25">
              <w:rPr>
                <w:rFonts w:cstheme="minorHAnsi"/>
              </w:rPr>
              <w:t>Process for handling non-clean claims with the provider</w:t>
            </w:r>
          </w:p>
        </w:tc>
        <w:tc>
          <w:tcPr>
            <w:tcW w:w="10530" w:type="dxa"/>
          </w:tcPr>
          <w:p w14:paraId="0FDB3BAE" w14:textId="4F8EA044" w:rsidR="00A10F14" w:rsidRPr="00306D25" w:rsidRDefault="0026262A" w:rsidP="00EF15B9">
            <w:pPr>
              <w:rPr>
                <w:rFonts w:cstheme="minorHAnsi"/>
              </w:rPr>
            </w:pPr>
            <w:r>
              <w:rPr>
                <w:rFonts w:eastAsia="Times New Roman" w:cstheme="minorHAnsi"/>
                <w:color w:val="000000"/>
                <w:sz w:val="20"/>
                <w:szCs w:val="20"/>
              </w:rPr>
              <w:t>Sentara Health Plans</w:t>
            </w:r>
            <w:r w:rsidR="00A10F14" w:rsidRPr="00306D25">
              <w:rPr>
                <w:rFonts w:cstheme="minorHAnsi"/>
              </w:rPr>
              <w:t xml:space="preserve"> will reject non-clean claims and will not have the claim entered into the system for the following:  Incorrect name, date of birth, or ID number.  </w:t>
            </w:r>
            <w:r>
              <w:rPr>
                <w:rFonts w:eastAsia="Times New Roman" w:cstheme="minorHAnsi"/>
                <w:color w:val="000000"/>
                <w:sz w:val="20"/>
                <w:szCs w:val="20"/>
              </w:rPr>
              <w:t>Sentara Health Plans</w:t>
            </w:r>
            <w:r w:rsidR="00A10F14" w:rsidRPr="00306D25">
              <w:rPr>
                <w:rFonts w:cstheme="minorHAnsi"/>
              </w:rPr>
              <w:t xml:space="preserve"> will deny claims that are missing information, e.g., EOB from the primary carrier.</w:t>
            </w:r>
          </w:p>
        </w:tc>
      </w:tr>
      <w:tr w:rsidR="00A10F14" w:rsidRPr="00306D25" w14:paraId="63D7F844" w14:textId="77777777" w:rsidTr="00EF15B9">
        <w:tc>
          <w:tcPr>
            <w:tcW w:w="1705" w:type="dxa"/>
          </w:tcPr>
          <w:p w14:paraId="0F4E1036" w14:textId="77777777" w:rsidR="00A10F14" w:rsidRPr="00306D25" w:rsidRDefault="00A10F14" w:rsidP="00EF15B9">
            <w:pPr>
              <w:rPr>
                <w:rFonts w:cstheme="minorHAnsi"/>
              </w:rPr>
            </w:pPr>
            <w:r w:rsidRPr="00306D25">
              <w:rPr>
                <w:rFonts w:cstheme="minorHAnsi"/>
              </w:rPr>
              <w:t>Decline to Bill Form and EOB</w:t>
            </w:r>
          </w:p>
        </w:tc>
        <w:tc>
          <w:tcPr>
            <w:tcW w:w="3330" w:type="dxa"/>
          </w:tcPr>
          <w:p w14:paraId="40D0AAFA" w14:textId="77777777" w:rsidR="00A10F14" w:rsidRPr="00306D25" w:rsidRDefault="00A10F14" w:rsidP="00EF15B9">
            <w:pPr>
              <w:rPr>
                <w:rFonts w:cstheme="minorHAnsi"/>
              </w:rPr>
            </w:pPr>
            <w:r w:rsidRPr="00306D25">
              <w:rPr>
                <w:rFonts w:cstheme="minorHAnsi"/>
              </w:rPr>
              <w:t>Families may decline to bill their private insurance for coverage of EI services and will sign the Decline to Bill Form. LLAs will have this form on file.</w:t>
            </w:r>
          </w:p>
          <w:p w14:paraId="203C1DFA" w14:textId="77777777" w:rsidR="00A10F14" w:rsidRPr="00306D25" w:rsidRDefault="00A10F14" w:rsidP="00EF15B9">
            <w:pPr>
              <w:rPr>
                <w:rFonts w:cstheme="minorHAnsi"/>
              </w:rPr>
            </w:pPr>
          </w:p>
          <w:p w14:paraId="3D56BB8A" w14:textId="77777777" w:rsidR="00A10F14" w:rsidRPr="00306D25" w:rsidRDefault="00A10F14" w:rsidP="00EF15B9">
            <w:pPr>
              <w:rPr>
                <w:rFonts w:cstheme="minorHAnsi"/>
              </w:rPr>
            </w:pPr>
            <w:r w:rsidRPr="00306D25">
              <w:rPr>
                <w:rFonts w:cstheme="minorHAnsi"/>
              </w:rPr>
              <w:t>If family does not decline to bill, the private insurance will send EOB</w:t>
            </w:r>
          </w:p>
        </w:tc>
        <w:tc>
          <w:tcPr>
            <w:tcW w:w="3330" w:type="dxa"/>
          </w:tcPr>
          <w:p w14:paraId="43656E0E" w14:textId="77777777" w:rsidR="00A10F14" w:rsidRPr="00306D25" w:rsidRDefault="00A10F14" w:rsidP="00A10F14">
            <w:pPr>
              <w:pStyle w:val="ListParagraph"/>
              <w:numPr>
                <w:ilvl w:val="0"/>
                <w:numId w:val="5"/>
              </w:numPr>
              <w:ind w:left="216" w:hanging="216"/>
              <w:rPr>
                <w:rFonts w:cstheme="minorHAnsi"/>
              </w:rPr>
            </w:pPr>
            <w:r w:rsidRPr="00306D25">
              <w:rPr>
                <w:rFonts w:cstheme="minorHAnsi"/>
              </w:rPr>
              <w:t>Submission process for Decline to Bill Form</w:t>
            </w:r>
          </w:p>
          <w:p w14:paraId="253BEF85" w14:textId="77777777" w:rsidR="00A10F14" w:rsidRPr="00306D25" w:rsidRDefault="00A10F14" w:rsidP="00A10F14">
            <w:pPr>
              <w:pStyle w:val="ListParagraph"/>
              <w:numPr>
                <w:ilvl w:val="0"/>
                <w:numId w:val="5"/>
              </w:numPr>
              <w:ind w:left="216" w:hanging="216"/>
              <w:rPr>
                <w:rFonts w:cstheme="minorHAnsi"/>
              </w:rPr>
            </w:pPr>
            <w:r w:rsidRPr="00306D25">
              <w:rPr>
                <w:rFonts w:cstheme="minorHAnsi"/>
              </w:rPr>
              <w:t>Process for ensuring Claims Department is aware of Decline to Bill form</w:t>
            </w:r>
          </w:p>
          <w:p w14:paraId="07609265" w14:textId="77777777" w:rsidR="00A10F14" w:rsidRPr="00306D25" w:rsidRDefault="00A10F14" w:rsidP="00A10F14">
            <w:pPr>
              <w:pStyle w:val="ListParagraph"/>
              <w:numPr>
                <w:ilvl w:val="0"/>
                <w:numId w:val="5"/>
              </w:numPr>
              <w:ind w:left="216" w:hanging="216"/>
              <w:rPr>
                <w:rFonts w:cstheme="minorHAnsi"/>
              </w:rPr>
            </w:pPr>
            <w:r w:rsidRPr="00306D25">
              <w:rPr>
                <w:rFonts w:cstheme="minorHAnsi"/>
              </w:rPr>
              <w:t>Process for handling claims when Decline to Bill is or the EOB are not on file</w:t>
            </w:r>
          </w:p>
        </w:tc>
        <w:tc>
          <w:tcPr>
            <w:tcW w:w="10530" w:type="dxa"/>
          </w:tcPr>
          <w:p w14:paraId="1EDCCE56" w14:textId="4BD2533F" w:rsidR="00A10F14" w:rsidRPr="00306D25" w:rsidRDefault="0026262A" w:rsidP="00EF15B9">
            <w:pPr>
              <w:rPr>
                <w:rFonts w:cstheme="minorHAnsi"/>
              </w:rPr>
            </w:pPr>
            <w:r>
              <w:rPr>
                <w:rFonts w:eastAsia="Times New Roman" w:cstheme="minorHAnsi"/>
                <w:color w:val="000000"/>
                <w:sz w:val="20"/>
                <w:szCs w:val="20"/>
              </w:rPr>
              <w:t>Sentara Health Plans</w:t>
            </w:r>
            <w:r w:rsidR="00A10F14" w:rsidRPr="00306D25">
              <w:rPr>
                <w:rFonts w:cstheme="minorHAnsi"/>
              </w:rPr>
              <w:t xml:space="preserve"> follows the guidance of the Infant and Toddler Connection provider manual, chapter 11, page 24, number 7, which states: </w:t>
            </w:r>
          </w:p>
          <w:p w14:paraId="17E48213" w14:textId="77777777" w:rsidR="00A10F14" w:rsidRPr="00306D25" w:rsidRDefault="00A10F14" w:rsidP="00EF15B9">
            <w:pPr>
              <w:rPr>
                <w:rFonts w:cstheme="minorHAnsi"/>
              </w:rPr>
            </w:pPr>
            <w:r w:rsidRPr="00306D25">
              <w:rPr>
                <w:rFonts w:cstheme="minorHAnsi"/>
              </w:rPr>
              <w:t>“7. For children with Medicaid/FAMIS and commercial insurance coverage, providers must bill the commercial insurance first except in the following circumstances:</w:t>
            </w:r>
          </w:p>
          <w:p w14:paraId="345EDBA9" w14:textId="77777777" w:rsidR="00A10F14" w:rsidRPr="00306D25" w:rsidRDefault="00A10F14" w:rsidP="00A10F14">
            <w:pPr>
              <w:pStyle w:val="ListParagraph"/>
              <w:numPr>
                <w:ilvl w:val="0"/>
                <w:numId w:val="16"/>
              </w:numPr>
              <w:rPr>
                <w:rFonts w:cstheme="minorHAnsi"/>
              </w:rPr>
            </w:pPr>
            <w:r w:rsidRPr="00306D25">
              <w:rPr>
                <w:rFonts w:cstheme="minorHAnsi"/>
              </w:rPr>
              <w:t>If a family has declined access to their private health/medical insurance for covered early intervention services, then the following steps may be taken to secure Medicaid reimbursement without billing the commercial insurance first:  Check “yes” for box 11D on the CMS 1500 form and Complete and sign a Notification to the Department of Medical Assistance Services:  Family Declining to Bill Private insurance form and attach it to the claim form.”</w:t>
            </w:r>
          </w:p>
          <w:p w14:paraId="361DA42F" w14:textId="3550744A" w:rsidR="00A10F14" w:rsidRPr="00306D25" w:rsidRDefault="0026262A" w:rsidP="00EF15B9">
            <w:pPr>
              <w:rPr>
                <w:rFonts w:cstheme="minorHAnsi"/>
                <w:b/>
                <w:color w:val="FF0000"/>
              </w:rPr>
            </w:pPr>
            <w:r>
              <w:rPr>
                <w:rFonts w:eastAsia="Times New Roman" w:cstheme="minorHAnsi"/>
                <w:color w:val="000000"/>
                <w:sz w:val="20"/>
                <w:szCs w:val="20"/>
              </w:rPr>
              <w:t>Sentara Health Plan</w:t>
            </w:r>
            <w:r w:rsidR="00A10F14" w:rsidRPr="00306D25">
              <w:rPr>
                <w:rFonts w:cstheme="minorHAnsi"/>
              </w:rPr>
              <w:t xml:space="preserve"> houses the Decline to Bill form in their system.</w:t>
            </w:r>
            <w:r w:rsidR="00A10F14" w:rsidRPr="00306D25">
              <w:rPr>
                <w:rFonts w:cstheme="minorHAnsi"/>
                <w:b/>
                <w:color w:val="FF0000"/>
              </w:rPr>
              <w:t xml:space="preserve">  </w:t>
            </w:r>
          </w:p>
          <w:p w14:paraId="2A3064FC" w14:textId="77777777" w:rsidR="00A10F14" w:rsidRPr="00306D25" w:rsidRDefault="00A10F14" w:rsidP="00EF15B9">
            <w:pPr>
              <w:rPr>
                <w:rFonts w:cstheme="minorHAnsi"/>
              </w:rPr>
            </w:pPr>
            <w:r w:rsidRPr="00306D25">
              <w:rPr>
                <w:rFonts w:cstheme="minorHAnsi"/>
              </w:rPr>
              <w:t xml:space="preserve"> </w:t>
            </w:r>
          </w:p>
          <w:p w14:paraId="1D9EDD15" w14:textId="057A064D" w:rsidR="00A10F14" w:rsidRPr="00306D25" w:rsidRDefault="0026262A" w:rsidP="00EF15B9">
            <w:pPr>
              <w:rPr>
                <w:rFonts w:cstheme="minorHAnsi"/>
              </w:rPr>
            </w:pPr>
            <w:r>
              <w:rPr>
                <w:rFonts w:eastAsia="Times New Roman" w:cstheme="minorHAnsi"/>
                <w:color w:val="000000"/>
                <w:sz w:val="20"/>
                <w:szCs w:val="20"/>
              </w:rPr>
              <w:t>Sentara Health Plan</w:t>
            </w:r>
            <w:r w:rsidR="00A10F14" w:rsidRPr="00306D25">
              <w:rPr>
                <w:rFonts w:cstheme="minorHAnsi"/>
              </w:rPr>
              <w:t xml:space="preserve"> claims policy and procedures describe the above steps and a copy of the form for reference to the claims processors as well as provider services department.</w:t>
            </w:r>
          </w:p>
          <w:p w14:paraId="729437AE" w14:textId="77777777" w:rsidR="00A10F14" w:rsidRPr="00306D25" w:rsidRDefault="00A10F14" w:rsidP="00EF15B9">
            <w:pPr>
              <w:rPr>
                <w:rFonts w:cstheme="minorHAnsi"/>
              </w:rPr>
            </w:pPr>
          </w:p>
          <w:p w14:paraId="3B29123C" w14:textId="6204B96D" w:rsidR="00A10F14" w:rsidRPr="00306D25" w:rsidRDefault="00A10F14" w:rsidP="00EF15B9">
            <w:pPr>
              <w:rPr>
                <w:rFonts w:cstheme="minorHAnsi"/>
                <w:b/>
                <w:color w:val="FF0000"/>
              </w:rPr>
            </w:pPr>
            <w:r w:rsidRPr="00306D25">
              <w:rPr>
                <w:rFonts w:cstheme="minorHAnsi"/>
              </w:rPr>
              <w:t xml:space="preserve">If no EOB or Decline to Bill is submitted, </w:t>
            </w:r>
            <w:r w:rsidR="0026262A">
              <w:rPr>
                <w:rFonts w:eastAsia="Times New Roman" w:cstheme="minorHAnsi"/>
                <w:color w:val="000000"/>
                <w:sz w:val="20"/>
                <w:szCs w:val="20"/>
              </w:rPr>
              <w:t>Sentara Health Plan</w:t>
            </w:r>
            <w:r w:rsidRPr="00306D25">
              <w:rPr>
                <w:rFonts w:cstheme="minorHAnsi"/>
              </w:rPr>
              <w:t xml:space="preserve"> will deny the claim for missing EOB from the primary carrier. </w:t>
            </w:r>
          </w:p>
          <w:p w14:paraId="31AD63BC" w14:textId="77777777" w:rsidR="00A10F14" w:rsidRPr="00306D25" w:rsidRDefault="00A10F14" w:rsidP="00EF15B9">
            <w:pPr>
              <w:rPr>
                <w:rFonts w:cstheme="minorHAnsi"/>
                <w:bCs/>
              </w:rPr>
            </w:pPr>
            <w:r w:rsidRPr="00306D25">
              <w:rPr>
                <w:rFonts w:cstheme="minorHAnsi"/>
                <w:bCs/>
              </w:rPr>
              <w:t xml:space="preserve">The claim is pended for a claims processor to ensure that there is no EOB and the member file to check for the Decline to Bill, the claims processor does not reach out to the provider.  The provider is able to do a reconsideration with appropriate attachments/information.  </w:t>
            </w:r>
          </w:p>
        </w:tc>
      </w:tr>
      <w:tr w:rsidR="00A10F14" w:rsidRPr="00306D25" w14:paraId="4AA5E403" w14:textId="77777777" w:rsidTr="00EF15B9">
        <w:tc>
          <w:tcPr>
            <w:tcW w:w="1705" w:type="dxa"/>
          </w:tcPr>
          <w:p w14:paraId="6F5C21CA" w14:textId="77777777" w:rsidR="00A10F14" w:rsidRPr="00306D25" w:rsidRDefault="00A10F14" w:rsidP="00EF15B9">
            <w:pPr>
              <w:rPr>
                <w:rFonts w:cstheme="minorHAnsi"/>
              </w:rPr>
            </w:pPr>
            <w:r w:rsidRPr="00306D25">
              <w:rPr>
                <w:rFonts w:cstheme="minorHAnsi"/>
              </w:rPr>
              <w:lastRenderedPageBreak/>
              <w:t>EI Enrollment and Indicator</w:t>
            </w:r>
          </w:p>
        </w:tc>
        <w:tc>
          <w:tcPr>
            <w:tcW w:w="3330" w:type="dxa"/>
          </w:tcPr>
          <w:p w14:paraId="3C894176" w14:textId="77777777" w:rsidR="00A10F14" w:rsidRPr="00306D25" w:rsidRDefault="00A10F14" w:rsidP="00EF15B9">
            <w:pPr>
              <w:rPr>
                <w:rFonts w:cstheme="minorHAnsi"/>
              </w:rPr>
            </w:pPr>
            <w:r w:rsidRPr="00306D25">
              <w:rPr>
                <w:rFonts w:cstheme="minorHAnsi"/>
              </w:rPr>
              <w:t xml:space="preserve">A child must have an EI indicator on the enrollment file in order for an EI service to be reimbursed. </w:t>
            </w:r>
          </w:p>
          <w:p w14:paraId="78A1281A" w14:textId="77777777" w:rsidR="00A10F14" w:rsidRPr="00306D25" w:rsidRDefault="00A10F14" w:rsidP="00EF15B9">
            <w:pPr>
              <w:rPr>
                <w:rFonts w:cstheme="minorHAnsi"/>
              </w:rPr>
            </w:pPr>
          </w:p>
          <w:p w14:paraId="598C5E49" w14:textId="77777777" w:rsidR="00A10F14" w:rsidRPr="00306D25" w:rsidRDefault="00A10F14" w:rsidP="00EF15B9">
            <w:pPr>
              <w:rPr>
                <w:rFonts w:cstheme="minorHAnsi"/>
              </w:rPr>
            </w:pPr>
            <w:r w:rsidRPr="00306D25">
              <w:rPr>
                <w:rFonts w:cstheme="minorHAnsi"/>
              </w:rPr>
              <w:t>Due to timing of the enrollment file, if the provider bills prior to the MCO receiving the file listing the child as having the EI indicator, the claim will deny due to “child not enrolled in the EI”.</w:t>
            </w:r>
          </w:p>
          <w:p w14:paraId="790A05A3" w14:textId="77777777" w:rsidR="00A10F14" w:rsidRPr="00306D25" w:rsidRDefault="00A10F14" w:rsidP="00EF15B9">
            <w:pPr>
              <w:rPr>
                <w:rFonts w:cstheme="minorHAnsi"/>
              </w:rPr>
            </w:pPr>
          </w:p>
          <w:p w14:paraId="1087265E" w14:textId="77777777" w:rsidR="00A10F14" w:rsidRPr="00306D25" w:rsidRDefault="00A10F14" w:rsidP="00EF15B9">
            <w:pPr>
              <w:rPr>
                <w:rFonts w:cstheme="minorHAnsi"/>
              </w:rPr>
            </w:pPr>
            <w:r w:rsidRPr="00306D25">
              <w:rPr>
                <w:rFonts w:cstheme="minorHAnsi"/>
              </w:rPr>
              <w:t>This impacts submission of a clean claim.</w:t>
            </w:r>
          </w:p>
        </w:tc>
        <w:tc>
          <w:tcPr>
            <w:tcW w:w="3330" w:type="dxa"/>
          </w:tcPr>
          <w:p w14:paraId="2BD7AA35" w14:textId="77777777" w:rsidR="00A10F14" w:rsidRPr="00306D25" w:rsidRDefault="00A10F14" w:rsidP="00A10F14">
            <w:pPr>
              <w:pStyle w:val="ListParagraph"/>
              <w:numPr>
                <w:ilvl w:val="0"/>
                <w:numId w:val="6"/>
              </w:numPr>
              <w:ind w:left="216" w:hanging="216"/>
              <w:rPr>
                <w:rFonts w:cstheme="minorHAnsi"/>
              </w:rPr>
            </w:pPr>
            <w:r w:rsidRPr="00306D25">
              <w:rPr>
                <w:rFonts w:cstheme="minorHAnsi"/>
              </w:rPr>
              <w:t>Process to handle claims when the EI indicator is not on plan enrollment file</w:t>
            </w:r>
          </w:p>
        </w:tc>
        <w:tc>
          <w:tcPr>
            <w:tcW w:w="10530" w:type="dxa"/>
          </w:tcPr>
          <w:p w14:paraId="0BA986BA" w14:textId="486B3E27" w:rsidR="00A10F14" w:rsidRPr="00306D25" w:rsidRDefault="0026262A" w:rsidP="00EF15B9">
            <w:pPr>
              <w:rPr>
                <w:rFonts w:cstheme="minorHAnsi"/>
                <w:bCs/>
              </w:rPr>
            </w:pPr>
            <w:r>
              <w:rPr>
                <w:rFonts w:eastAsia="Times New Roman" w:cstheme="minorHAnsi"/>
                <w:color w:val="000000"/>
                <w:sz w:val="20"/>
                <w:szCs w:val="20"/>
              </w:rPr>
              <w:t>Sentara Health Plans</w:t>
            </w:r>
            <w:r w:rsidR="00A10F14" w:rsidRPr="00306D25">
              <w:rPr>
                <w:rFonts w:cstheme="minorHAnsi"/>
              </w:rPr>
              <w:t xml:space="preserve"> will reimburse the T and G codes and do not have an edit to prevent payment.  </w:t>
            </w:r>
          </w:p>
          <w:p w14:paraId="01A24E63" w14:textId="77777777" w:rsidR="00A10F14" w:rsidRPr="00306D25" w:rsidRDefault="00A10F14" w:rsidP="00EF15B9">
            <w:pPr>
              <w:rPr>
                <w:rFonts w:cstheme="minorHAnsi"/>
                <w:bCs/>
              </w:rPr>
            </w:pPr>
          </w:p>
        </w:tc>
      </w:tr>
      <w:tr w:rsidR="00A10F14" w:rsidRPr="00306D25" w14:paraId="3DED1235" w14:textId="77777777" w:rsidTr="00EF15B9">
        <w:tc>
          <w:tcPr>
            <w:tcW w:w="1705" w:type="dxa"/>
          </w:tcPr>
          <w:p w14:paraId="59291BD5" w14:textId="77777777" w:rsidR="00A10F14" w:rsidRPr="00306D25" w:rsidRDefault="00A10F14" w:rsidP="00EF15B9">
            <w:pPr>
              <w:rPr>
                <w:rFonts w:cstheme="minorHAnsi"/>
              </w:rPr>
            </w:pPr>
            <w:r w:rsidRPr="00306D25">
              <w:rPr>
                <w:rFonts w:cstheme="minorHAnsi"/>
              </w:rPr>
              <w:t>Care Coordination</w:t>
            </w:r>
          </w:p>
        </w:tc>
        <w:tc>
          <w:tcPr>
            <w:tcW w:w="3330" w:type="dxa"/>
          </w:tcPr>
          <w:p w14:paraId="191DB065" w14:textId="77777777" w:rsidR="00A10F14" w:rsidRPr="00306D25" w:rsidRDefault="00A10F14" w:rsidP="00EF15B9">
            <w:pPr>
              <w:rPr>
                <w:rFonts w:cstheme="minorHAnsi"/>
              </w:rPr>
            </w:pPr>
            <w:r w:rsidRPr="00306D25">
              <w:rPr>
                <w:rFonts w:cstheme="minorHAnsi"/>
              </w:rPr>
              <w:t>Plan care coordinators should collaborate with the EI Service Coordinator</w:t>
            </w:r>
          </w:p>
        </w:tc>
        <w:tc>
          <w:tcPr>
            <w:tcW w:w="3330" w:type="dxa"/>
          </w:tcPr>
          <w:p w14:paraId="2304C964" w14:textId="77777777" w:rsidR="00A10F14" w:rsidRPr="00306D25" w:rsidRDefault="00A10F14" w:rsidP="00A10F14">
            <w:pPr>
              <w:pStyle w:val="ListParagraph"/>
              <w:numPr>
                <w:ilvl w:val="0"/>
                <w:numId w:val="6"/>
              </w:numPr>
              <w:ind w:left="216" w:hanging="216"/>
              <w:rPr>
                <w:rFonts w:cstheme="minorHAnsi"/>
              </w:rPr>
            </w:pPr>
            <w:r w:rsidRPr="00306D25">
              <w:rPr>
                <w:rFonts w:cstheme="minorHAnsi"/>
              </w:rPr>
              <w:t>Role of the care coordinator</w:t>
            </w:r>
          </w:p>
          <w:p w14:paraId="09AECBBC" w14:textId="77777777" w:rsidR="00A10F14" w:rsidRPr="00306D25" w:rsidRDefault="00A10F14" w:rsidP="00A10F14">
            <w:pPr>
              <w:pStyle w:val="ListParagraph"/>
              <w:numPr>
                <w:ilvl w:val="0"/>
                <w:numId w:val="6"/>
              </w:numPr>
              <w:ind w:left="216" w:hanging="216"/>
              <w:rPr>
                <w:rFonts w:cstheme="minorHAnsi"/>
              </w:rPr>
            </w:pPr>
            <w:r w:rsidRPr="00306D25">
              <w:rPr>
                <w:rFonts w:cstheme="minorHAnsi"/>
              </w:rPr>
              <w:t>Process for exchanging information between care coordinator and service coordinator</w:t>
            </w:r>
          </w:p>
          <w:p w14:paraId="11CAACF0" w14:textId="77777777" w:rsidR="00A10F14" w:rsidRPr="00306D25" w:rsidRDefault="00A10F14" w:rsidP="00A10F14">
            <w:pPr>
              <w:pStyle w:val="ListParagraph"/>
              <w:numPr>
                <w:ilvl w:val="0"/>
                <w:numId w:val="6"/>
              </w:numPr>
              <w:ind w:left="216" w:hanging="216"/>
              <w:rPr>
                <w:rFonts w:cstheme="minorHAnsi"/>
              </w:rPr>
            </w:pPr>
            <w:r w:rsidRPr="00306D25">
              <w:rPr>
                <w:rFonts w:cstheme="minorHAnsi"/>
              </w:rPr>
              <w:t>Frequency of contact between coordinators, i.e., timeframe for initial contact and ongoing contact</w:t>
            </w:r>
          </w:p>
        </w:tc>
        <w:tc>
          <w:tcPr>
            <w:tcW w:w="10530" w:type="dxa"/>
          </w:tcPr>
          <w:p w14:paraId="27592B29" w14:textId="77777777" w:rsidR="00A10F14" w:rsidRPr="00306D25" w:rsidRDefault="00A10F14" w:rsidP="00EF15B9">
            <w:pPr>
              <w:rPr>
                <w:rFonts w:cstheme="minorHAnsi"/>
              </w:rPr>
            </w:pPr>
            <w:r w:rsidRPr="00306D25">
              <w:rPr>
                <w:rFonts w:cstheme="minorHAnsi"/>
              </w:rPr>
              <w:t xml:space="preserve">Role of Care Coordinator:  </w:t>
            </w:r>
            <w:r w:rsidRPr="00306D25">
              <w:rPr>
                <w:rFonts w:cstheme="minorHAnsi"/>
                <w:color w:val="000000"/>
                <w:szCs w:val="24"/>
              </w:rPr>
              <w:t>Care Coordination is a collaborative process which assesses, plans, implements, coordinates, monitors, and evaluates plan of care options to meet the member’s needs.  The Care Coordinator will collaborate with the Service Coordinator to coordinate care and services, contract negotiations, and telephonic education in an effort to promote quality outcomes for each member.</w:t>
            </w:r>
          </w:p>
          <w:p w14:paraId="22D991AC" w14:textId="77777777" w:rsidR="00A10F14" w:rsidRPr="00306D25" w:rsidRDefault="00A10F14" w:rsidP="00EF15B9">
            <w:pPr>
              <w:rPr>
                <w:rFonts w:cstheme="minorHAnsi"/>
              </w:rPr>
            </w:pPr>
          </w:p>
          <w:p w14:paraId="7394745C" w14:textId="77777777" w:rsidR="0026262A" w:rsidRPr="00306D25" w:rsidRDefault="0026262A" w:rsidP="0026262A">
            <w:pPr>
              <w:rPr>
                <w:rFonts w:cstheme="minorHAnsi"/>
              </w:rPr>
            </w:pPr>
            <w:r w:rsidRPr="3B6A7B30">
              <w:t>Process for exchanging info:  Clinical Contacts:</w:t>
            </w:r>
          </w:p>
          <w:p w14:paraId="2140E323" w14:textId="77777777" w:rsidR="0026262A" w:rsidRDefault="0026262A" w:rsidP="0026262A">
            <w:r w:rsidRPr="3B6A7B30">
              <w:t>Sentara Health Plans 1-800-881-2166</w:t>
            </w:r>
          </w:p>
          <w:p w14:paraId="515676FA" w14:textId="77777777" w:rsidR="0026262A" w:rsidRPr="00306D25" w:rsidRDefault="0026262A" w:rsidP="0026262A">
            <w:r w:rsidRPr="3B6A7B30">
              <w:t xml:space="preserve">Email </w:t>
            </w:r>
            <w:hyperlink r:id="rId26">
              <w:r w:rsidRPr="3B6A7B30">
                <w:rPr>
                  <w:rStyle w:val="Hyperlink"/>
                </w:rPr>
                <w:t>highriskpeds@sentara.com</w:t>
              </w:r>
            </w:hyperlink>
          </w:p>
          <w:p w14:paraId="5A20F81D" w14:textId="7CF73EA6" w:rsidR="00A10F14" w:rsidRDefault="0026262A" w:rsidP="00EF15B9">
            <w:r w:rsidRPr="3B6A7B30">
              <w:t>Fax – 1-757-390-4449. ISFPs are faxed to our Clinical team. Other communications between Care Coordinator and Service Coordinator are individually based per case, need and preference of each Coordinator may be phone or email communication.</w:t>
            </w:r>
          </w:p>
          <w:p w14:paraId="7DA6F663" w14:textId="77777777" w:rsidR="0026262A" w:rsidRPr="0026262A" w:rsidRDefault="0026262A" w:rsidP="00EF15B9"/>
          <w:p w14:paraId="3DDB56BD" w14:textId="77777777" w:rsidR="00A10F14" w:rsidRPr="00306D25" w:rsidRDefault="00A10F14" w:rsidP="00EF15B9">
            <w:pPr>
              <w:rPr>
                <w:rFonts w:cstheme="minorHAnsi"/>
              </w:rPr>
            </w:pPr>
            <w:r w:rsidRPr="00306D25">
              <w:rPr>
                <w:rFonts w:cstheme="minorHAnsi"/>
              </w:rPr>
              <w:t>Frequency – Established on individual case need for each member’s level of care, contact may occur a few times per month, monthly, or quarterly based on the needs of the member.</w:t>
            </w:r>
          </w:p>
          <w:p w14:paraId="229B6136" w14:textId="77777777" w:rsidR="00A10F14" w:rsidRPr="00306D25" w:rsidRDefault="00A10F14" w:rsidP="00EF15B9">
            <w:pPr>
              <w:rPr>
                <w:rFonts w:cstheme="minorHAnsi"/>
              </w:rPr>
            </w:pPr>
          </w:p>
        </w:tc>
      </w:tr>
      <w:tr w:rsidR="00A10F14" w:rsidRPr="00306D25" w14:paraId="539A5C93" w14:textId="77777777" w:rsidTr="00EF15B9">
        <w:tc>
          <w:tcPr>
            <w:tcW w:w="1705" w:type="dxa"/>
          </w:tcPr>
          <w:p w14:paraId="4AE060EE" w14:textId="77777777" w:rsidR="00A10F14" w:rsidRPr="00306D25" w:rsidRDefault="00A10F14" w:rsidP="00EF15B9">
            <w:pPr>
              <w:rPr>
                <w:rFonts w:cstheme="minorHAnsi"/>
              </w:rPr>
            </w:pPr>
            <w:r w:rsidRPr="00306D25">
              <w:rPr>
                <w:rFonts w:cstheme="minorHAnsi"/>
              </w:rPr>
              <w:t>Interpreter and Translation Services</w:t>
            </w:r>
          </w:p>
        </w:tc>
        <w:tc>
          <w:tcPr>
            <w:tcW w:w="3330" w:type="dxa"/>
          </w:tcPr>
          <w:p w14:paraId="1CF376F6" w14:textId="77777777" w:rsidR="00A10F14" w:rsidRPr="00306D25" w:rsidRDefault="00A10F14" w:rsidP="00EF15B9">
            <w:pPr>
              <w:rPr>
                <w:rFonts w:cstheme="minorHAnsi"/>
              </w:rPr>
            </w:pPr>
            <w:r w:rsidRPr="00306D25">
              <w:rPr>
                <w:rFonts w:cstheme="minorHAnsi"/>
              </w:rPr>
              <w:t xml:space="preserve">Language assistance services, including but not limited to interpreter and translation </w:t>
            </w:r>
            <w:r w:rsidRPr="00306D25">
              <w:rPr>
                <w:rFonts w:cstheme="minorHAnsi"/>
              </w:rPr>
              <w:lastRenderedPageBreak/>
              <w:t>services, are available free of charge.</w:t>
            </w:r>
          </w:p>
        </w:tc>
        <w:tc>
          <w:tcPr>
            <w:tcW w:w="3330" w:type="dxa"/>
          </w:tcPr>
          <w:p w14:paraId="43276F71" w14:textId="77777777" w:rsidR="00A10F14" w:rsidRPr="00306D25" w:rsidRDefault="00A10F14" w:rsidP="00A10F14">
            <w:pPr>
              <w:pStyle w:val="ListParagraph"/>
              <w:numPr>
                <w:ilvl w:val="0"/>
                <w:numId w:val="7"/>
              </w:numPr>
              <w:ind w:left="216" w:hanging="216"/>
              <w:rPr>
                <w:rFonts w:cstheme="minorHAnsi"/>
              </w:rPr>
            </w:pPr>
            <w:r w:rsidRPr="00306D25">
              <w:rPr>
                <w:rFonts w:cstheme="minorHAnsi"/>
              </w:rPr>
              <w:lastRenderedPageBreak/>
              <w:t>Process for providers, service coordinators, and/or families to access interpreter/translation services</w:t>
            </w:r>
          </w:p>
          <w:p w14:paraId="5AEB251B" w14:textId="77777777" w:rsidR="00A10F14" w:rsidRPr="00306D25" w:rsidRDefault="00A10F14" w:rsidP="00A10F14">
            <w:pPr>
              <w:pStyle w:val="ListParagraph"/>
              <w:numPr>
                <w:ilvl w:val="0"/>
                <w:numId w:val="7"/>
              </w:numPr>
              <w:ind w:left="216" w:hanging="216"/>
              <w:rPr>
                <w:rFonts w:cstheme="minorHAnsi"/>
              </w:rPr>
            </w:pPr>
            <w:r w:rsidRPr="00306D25">
              <w:rPr>
                <w:rFonts w:cstheme="minorHAnsi"/>
              </w:rPr>
              <w:lastRenderedPageBreak/>
              <w:t>Timeframe for accessing interpreter/translation services</w:t>
            </w:r>
          </w:p>
        </w:tc>
        <w:tc>
          <w:tcPr>
            <w:tcW w:w="10530" w:type="dxa"/>
          </w:tcPr>
          <w:p w14:paraId="09FB5B99" w14:textId="42E590FA" w:rsidR="00A10F14" w:rsidRPr="00306D25" w:rsidRDefault="00A10F14" w:rsidP="00EF15B9">
            <w:pPr>
              <w:rPr>
                <w:rFonts w:cstheme="minorHAnsi"/>
                <w:b/>
              </w:rPr>
            </w:pPr>
            <w:r w:rsidRPr="00306D25">
              <w:rPr>
                <w:rFonts w:cstheme="minorHAnsi"/>
                <w:bCs/>
              </w:rPr>
              <w:lastRenderedPageBreak/>
              <w:t xml:space="preserve">Interpreter appointments are scheduled immediately when </w:t>
            </w:r>
            <w:r w:rsidR="0026262A">
              <w:rPr>
                <w:rFonts w:cstheme="minorHAnsi"/>
                <w:bCs/>
              </w:rPr>
              <w:t>Sentara Health Plans</w:t>
            </w:r>
            <w:r w:rsidRPr="00306D25">
              <w:rPr>
                <w:rFonts w:cstheme="minorHAnsi"/>
                <w:bCs/>
              </w:rPr>
              <w:t xml:space="preserve"> Staff call our Language vendor to schedule.  An appointment can be set up in various ways:  A provider or member would call member services phone number for language services, care coordination can schedule the interpreter or an e-mail can be sent to the </w:t>
            </w:r>
            <w:hyperlink r:id="rId27" w:history="1">
              <w:r w:rsidRPr="00306D25">
                <w:rPr>
                  <w:rStyle w:val="Hyperlink"/>
                  <w:rFonts w:cstheme="minorHAnsi"/>
                  <w:bCs/>
                </w:rPr>
                <w:t>languagehelp@sentara.com</w:t>
              </w:r>
            </w:hyperlink>
            <w:r w:rsidRPr="00306D25">
              <w:rPr>
                <w:rFonts w:cstheme="minorHAnsi"/>
                <w:bCs/>
              </w:rPr>
              <w:t xml:space="preserve"> e-mail.  We would not give providers direct access to our vendor due to </w:t>
            </w:r>
            <w:r w:rsidRPr="00306D25">
              <w:rPr>
                <w:rFonts w:cstheme="minorHAnsi"/>
                <w:bCs/>
              </w:rPr>
              <w:lastRenderedPageBreak/>
              <w:t xml:space="preserve">proprietary access fees.  It is very important that we are notified as soon as possible if a member cancels their appointment as we are charged for missed appointments.  </w:t>
            </w:r>
            <w:r w:rsidRPr="00306D25">
              <w:rPr>
                <w:rFonts w:cstheme="minorHAnsi"/>
                <w:b/>
              </w:rPr>
              <w:t xml:space="preserve">  </w:t>
            </w:r>
          </w:p>
          <w:p w14:paraId="0AF5A772" w14:textId="77777777" w:rsidR="00A10F14" w:rsidRPr="00306D25" w:rsidRDefault="00A10F14" w:rsidP="00EF15B9">
            <w:pPr>
              <w:rPr>
                <w:rFonts w:cstheme="minorHAnsi"/>
              </w:rPr>
            </w:pPr>
            <w:r w:rsidRPr="00306D25">
              <w:rPr>
                <w:rFonts w:cstheme="minorHAnsi"/>
              </w:rPr>
              <w:t xml:space="preserve">Members:  1-855-687-6260 (TTY 711)        </w:t>
            </w:r>
          </w:p>
          <w:p w14:paraId="0D256FFF" w14:textId="77777777" w:rsidR="00A10F14" w:rsidRPr="00306D25" w:rsidRDefault="00A10F14" w:rsidP="00EF15B9">
            <w:pPr>
              <w:rPr>
                <w:rFonts w:cstheme="minorHAnsi"/>
              </w:rPr>
            </w:pPr>
            <w:r w:rsidRPr="00306D25">
              <w:rPr>
                <w:rFonts w:cstheme="minorHAnsi"/>
              </w:rPr>
              <w:t xml:space="preserve">Providers:     1-800-229-8822        </w:t>
            </w:r>
          </w:p>
          <w:p w14:paraId="70464A39" w14:textId="77777777" w:rsidR="00A10F14" w:rsidRPr="00306D25" w:rsidRDefault="00A10F14" w:rsidP="00EF15B9">
            <w:pPr>
              <w:rPr>
                <w:rFonts w:cstheme="minorHAnsi"/>
                <w:bCs/>
              </w:rPr>
            </w:pPr>
            <w:r w:rsidRPr="00306D25">
              <w:rPr>
                <w:rFonts w:cstheme="minorHAnsi"/>
                <w:b/>
              </w:rPr>
              <w:t xml:space="preserve">launguagehelp@sentara.com                                                                                                                                         </w:t>
            </w:r>
          </w:p>
        </w:tc>
      </w:tr>
      <w:tr w:rsidR="00A10F14" w:rsidRPr="00306D25" w14:paraId="3A37C2A1" w14:textId="77777777" w:rsidTr="00EF15B9">
        <w:tc>
          <w:tcPr>
            <w:tcW w:w="1705" w:type="dxa"/>
          </w:tcPr>
          <w:p w14:paraId="63DE5495" w14:textId="77777777" w:rsidR="00A10F14" w:rsidRPr="00306D25" w:rsidRDefault="00A10F14" w:rsidP="00EF15B9">
            <w:pPr>
              <w:rPr>
                <w:rFonts w:cstheme="minorHAnsi"/>
              </w:rPr>
            </w:pPr>
            <w:r w:rsidRPr="00306D25">
              <w:rPr>
                <w:rFonts w:cstheme="minorHAnsi"/>
              </w:rPr>
              <w:lastRenderedPageBreak/>
              <w:t>EI Specific Email Box</w:t>
            </w:r>
          </w:p>
        </w:tc>
        <w:tc>
          <w:tcPr>
            <w:tcW w:w="3330" w:type="dxa"/>
          </w:tcPr>
          <w:p w14:paraId="635FC885" w14:textId="77777777" w:rsidR="00A10F14" w:rsidRPr="00306D25" w:rsidRDefault="00A10F14" w:rsidP="00EF15B9">
            <w:pPr>
              <w:rPr>
                <w:rFonts w:cstheme="minorHAnsi"/>
              </w:rPr>
            </w:pPr>
            <w:r w:rsidRPr="00306D25">
              <w:rPr>
                <w:rFonts w:cstheme="minorHAnsi"/>
              </w:rPr>
              <w:t>Specific email contacts for submission of IFSPs, Decline to Bill Forms, etc.</w:t>
            </w:r>
          </w:p>
        </w:tc>
        <w:tc>
          <w:tcPr>
            <w:tcW w:w="3330" w:type="dxa"/>
          </w:tcPr>
          <w:p w14:paraId="6C9C81D6" w14:textId="77777777" w:rsidR="00A10F14" w:rsidRPr="00306D25" w:rsidRDefault="00A10F14" w:rsidP="00A10F14">
            <w:pPr>
              <w:pStyle w:val="ListParagraph"/>
              <w:numPr>
                <w:ilvl w:val="0"/>
                <w:numId w:val="8"/>
              </w:numPr>
              <w:ind w:left="216" w:hanging="216"/>
              <w:rPr>
                <w:rFonts w:cstheme="minorHAnsi"/>
              </w:rPr>
            </w:pPr>
            <w:r w:rsidRPr="00306D25">
              <w:rPr>
                <w:rFonts w:cstheme="minorHAnsi"/>
              </w:rPr>
              <w:t>List specific email address</w:t>
            </w:r>
          </w:p>
        </w:tc>
        <w:tc>
          <w:tcPr>
            <w:tcW w:w="10530" w:type="dxa"/>
          </w:tcPr>
          <w:p w14:paraId="4B2DE1AF" w14:textId="241063A2" w:rsidR="00A10F14" w:rsidRPr="00306D25" w:rsidRDefault="0026262A" w:rsidP="00EF15B9">
            <w:pPr>
              <w:rPr>
                <w:rFonts w:cstheme="minorHAnsi"/>
              </w:rPr>
            </w:pPr>
            <w:r w:rsidRPr="0026262A">
              <w:t>IFSP should be faxed to Sentara Health Plans 1-757-390-4449 and the Decline to Bill should be sent as indicated in the Infant and Toddler Connection Provider Manual</w:t>
            </w:r>
            <w:r w:rsidRPr="000B7CDD">
              <w:rPr>
                <w:color w:val="0070C0"/>
              </w:rPr>
              <w:t xml:space="preserve">.  </w:t>
            </w:r>
          </w:p>
        </w:tc>
      </w:tr>
    </w:tbl>
    <w:p w14:paraId="74C1F100" w14:textId="77777777" w:rsidR="00FD7593" w:rsidRDefault="00FD7593" w:rsidP="00A10F14">
      <w:pPr>
        <w:rPr>
          <w:rFonts w:cstheme="minorHAnsi"/>
        </w:rPr>
      </w:pPr>
    </w:p>
    <w:p w14:paraId="2F07A400" w14:textId="77777777" w:rsidR="00F61B3B" w:rsidRDefault="00F61B3B" w:rsidP="00A10F14">
      <w:pPr>
        <w:rPr>
          <w:rFonts w:cstheme="minorHAnsi"/>
        </w:rPr>
      </w:pPr>
    </w:p>
    <w:p w14:paraId="43302DA4" w14:textId="77777777" w:rsidR="00F61B3B" w:rsidRDefault="00F61B3B" w:rsidP="00A10F14">
      <w:pPr>
        <w:rPr>
          <w:rFonts w:cstheme="minorHAnsi"/>
        </w:rPr>
      </w:pPr>
    </w:p>
    <w:p w14:paraId="6B0107C4" w14:textId="77777777" w:rsidR="00F61B3B" w:rsidRDefault="00F61B3B" w:rsidP="00A10F14">
      <w:pPr>
        <w:rPr>
          <w:rFonts w:cstheme="minorHAnsi"/>
        </w:rPr>
      </w:pPr>
    </w:p>
    <w:p w14:paraId="3ECE94FB" w14:textId="77777777" w:rsidR="00F61B3B" w:rsidRDefault="00F61B3B" w:rsidP="00A10F14">
      <w:pPr>
        <w:rPr>
          <w:rFonts w:cstheme="minorHAnsi"/>
        </w:rPr>
      </w:pPr>
    </w:p>
    <w:p w14:paraId="3B073565" w14:textId="77777777" w:rsidR="00F61B3B" w:rsidRDefault="00F61B3B" w:rsidP="00A10F14">
      <w:pPr>
        <w:rPr>
          <w:rFonts w:cstheme="minorHAnsi"/>
        </w:rPr>
      </w:pPr>
    </w:p>
    <w:p w14:paraId="4E895E17" w14:textId="77777777" w:rsidR="00F61B3B" w:rsidRDefault="00F61B3B" w:rsidP="00A10F14">
      <w:pPr>
        <w:rPr>
          <w:rFonts w:cstheme="minorHAnsi"/>
        </w:rPr>
      </w:pPr>
    </w:p>
    <w:p w14:paraId="12EA49EF" w14:textId="77777777" w:rsidR="00F61B3B" w:rsidRDefault="00F61B3B" w:rsidP="00A10F14">
      <w:pPr>
        <w:rPr>
          <w:rFonts w:cstheme="minorHAnsi"/>
        </w:rPr>
      </w:pPr>
    </w:p>
    <w:p w14:paraId="76DE0F84" w14:textId="77777777" w:rsidR="00F61B3B" w:rsidRDefault="00F61B3B" w:rsidP="00A10F14">
      <w:pPr>
        <w:rPr>
          <w:rFonts w:cstheme="minorHAnsi"/>
        </w:rPr>
      </w:pPr>
    </w:p>
    <w:p w14:paraId="464F8AF0" w14:textId="77777777" w:rsidR="00F61B3B" w:rsidRDefault="00F61B3B" w:rsidP="00A10F14">
      <w:pPr>
        <w:rPr>
          <w:rFonts w:cstheme="minorHAnsi"/>
        </w:rPr>
      </w:pPr>
    </w:p>
    <w:p w14:paraId="1B92E2D5" w14:textId="77777777" w:rsidR="00F61B3B" w:rsidRDefault="00F61B3B" w:rsidP="00A10F14">
      <w:pPr>
        <w:rPr>
          <w:rFonts w:cstheme="minorHAnsi"/>
        </w:rPr>
      </w:pPr>
    </w:p>
    <w:p w14:paraId="5268942C" w14:textId="77777777" w:rsidR="00F61B3B" w:rsidRDefault="00F61B3B" w:rsidP="00A10F14">
      <w:pPr>
        <w:rPr>
          <w:rFonts w:cstheme="minorHAnsi"/>
        </w:rPr>
      </w:pPr>
    </w:p>
    <w:p w14:paraId="619A05E8" w14:textId="77777777" w:rsidR="00E10712" w:rsidRDefault="00E10712" w:rsidP="00A10F14">
      <w:pPr>
        <w:rPr>
          <w:rFonts w:cstheme="minorHAnsi"/>
        </w:rPr>
      </w:pPr>
    </w:p>
    <w:p w14:paraId="605E71AD" w14:textId="234542B7" w:rsidR="00A10F14" w:rsidRPr="00306D25" w:rsidRDefault="00A10F14" w:rsidP="00A10F14">
      <w:pPr>
        <w:rPr>
          <w:rFonts w:cstheme="minorHAnsi"/>
        </w:rPr>
      </w:pPr>
    </w:p>
    <w:p w14:paraId="42F838AC" w14:textId="77777777" w:rsidR="00A10F14" w:rsidRPr="00A10F14" w:rsidRDefault="00A10F14" w:rsidP="00A10F14">
      <w:r w:rsidRPr="00A10F14">
        <w:rPr>
          <w:rFonts w:ascii="Candara" w:hAnsi="Candara"/>
          <w:b/>
          <w:noProof/>
          <w:sz w:val="20"/>
        </w:rPr>
        <w:lastRenderedPageBreak/>
        <w:drawing>
          <wp:inline distT="0" distB="0" distL="0" distR="0" wp14:anchorId="65C79490" wp14:editId="349B5239">
            <wp:extent cx="1371600" cy="530352"/>
            <wp:effectExtent l="0" t="0" r="0" b="317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United_Community_Plan_RGB.JPG"/>
                    <pic:cNvPicPr preferRelativeResize="0"/>
                  </pic:nvPicPr>
                  <pic:blipFill>
                    <a:blip r:embed="rId28" cstate="print">
                      <a:extLst>
                        <a:ext uri="{28A0092B-C50C-407E-A947-70E740481C1C}">
                          <a14:useLocalDpi xmlns:a14="http://schemas.microsoft.com/office/drawing/2010/main" val="0"/>
                        </a:ext>
                      </a:extLst>
                    </a:blip>
                    <a:stretch>
                      <a:fillRect/>
                    </a:stretch>
                  </pic:blipFill>
                  <pic:spPr>
                    <a:xfrm>
                      <a:off x="0" y="0"/>
                      <a:ext cx="1371600" cy="530352"/>
                    </a:xfrm>
                    <a:prstGeom prst="rect">
                      <a:avLst/>
                    </a:prstGeom>
                  </pic:spPr>
                </pic:pic>
              </a:graphicData>
            </a:graphic>
          </wp:inline>
        </w:drawing>
      </w:r>
    </w:p>
    <w:tbl>
      <w:tblPr>
        <w:tblStyle w:val="TableGrid"/>
        <w:tblW w:w="18895" w:type="dxa"/>
        <w:tblLook w:val="04A0" w:firstRow="1" w:lastRow="0" w:firstColumn="1" w:lastColumn="0" w:noHBand="0" w:noVBand="1"/>
      </w:tblPr>
      <w:tblGrid>
        <w:gridCol w:w="1705"/>
        <w:gridCol w:w="3330"/>
        <w:gridCol w:w="3330"/>
        <w:gridCol w:w="10530"/>
      </w:tblGrid>
      <w:tr w:rsidR="00A10F14" w:rsidRPr="00A10F14" w14:paraId="477B72B5" w14:textId="77777777" w:rsidTr="00EF15B9">
        <w:trPr>
          <w:tblHeader/>
        </w:trPr>
        <w:tc>
          <w:tcPr>
            <w:tcW w:w="1705" w:type="dxa"/>
            <w:shd w:val="clear" w:color="auto" w:fill="0099CC"/>
          </w:tcPr>
          <w:p w14:paraId="47A2E8BD" w14:textId="77777777" w:rsidR="00A10F14" w:rsidRPr="00A10F14" w:rsidRDefault="00A10F14" w:rsidP="00A10F14">
            <w:pPr>
              <w:jc w:val="center"/>
              <w:rPr>
                <w:rFonts w:cstheme="minorHAnsi"/>
                <w:b/>
              </w:rPr>
            </w:pPr>
            <w:r w:rsidRPr="00A10F14">
              <w:rPr>
                <w:rFonts w:cstheme="minorHAnsi"/>
                <w:b/>
              </w:rPr>
              <w:t>TOPIC</w:t>
            </w:r>
          </w:p>
        </w:tc>
        <w:tc>
          <w:tcPr>
            <w:tcW w:w="3330" w:type="dxa"/>
            <w:shd w:val="clear" w:color="auto" w:fill="0099CC"/>
          </w:tcPr>
          <w:p w14:paraId="4FC774B9" w14:textId="77777777" w:rsidR="00A10F14" w:rsidRPr="00A10F14" w:rsidRDefault="00A10F14" w:rsidP="00A10F14">
            <w:pPr>
              <w:jc w:val="center"/>
              <w:rPr>
                <w:rFonts w:cstheme="minorHAnsi"/>
                <w:b/>
              </w:rPr>
            </w:pPr>
            <w:r w:rsidRPr="00A10F14">
              <w:rPr>
                <w:rFonts w:cstheme="minorHAnsi"/>
                <w:b/>
              </w:rPr>
              <w:t>DESCRIPTION</w:t>
            </w:r>
          </w:p>
        </w:tc>
        <w:tc>
          <w:tcPr>
            <w:tcW w:w="3330" w:type="dxa"/>
            <w:shd w:val="clear" w:color="auto" w:fill="0099CC"/>
          </w:tcPr>
          <w:p w14:paraId="31D5C3C9" w14:textId="77777777" w:rsidR="00A10F14" w:rsidRPr="00A10F14" w:rsidRDefault="00A10F14" w:rsidP="00A10F14">
            <w:pPr>
              <w:jc w:val="center"/>
              <w:rPr>
                <w:rFonts w:cstheme="minorHAnsi"/>
                <w:b/>
              </w:rPr>
            </w:pPr>
            <w:r w:rsidRPr="00A10F14">
              <w:rPr>
                <w:rFonts w:cstheme="minorHAnsi"/>
                <w:b/>
              </w:rPr>
              <w:t>MCO PROCESS</w:t>
            </w:r>
          </w:p>
        </w:tc>
        <w:tc>
          <w:tcPr>
            <w:tcW w:w="10530" w:type="dxa"/>
            <w:shd w:val="clear" w:color="auto" w:fill="0099CC"/>
          </w:tcPr>
          <w:p w14:paraId="70C4C30B" w14:textId="77777777" w:rsidR="00A10F14" w:rsidRPr="00A10F14" w:rsidRDefault="00A10F14" w:rsidP="00A10F14">
            <w:pPr>
              <w:jc w:val="center"/>
              <w:rPr>
                <w:rFonts w:cstheme="minorHAnsi"/>
                <w:b/>
              </w:rPr>
            </w:pPr>
            <w:r w:rsidRPr="00A10F14">
              <w:rPr>
                <w:rFonts w:cstheme="minorHAnsi"/>
                <w:b/>
              </w:rPr>
              <w:t>MCO RESPONSE</w:t>
            </w:r>
          </w:p>
        </w:tc>
      </w:tr>
      <w:tr w:rsidR="00A10F14" w:rsidRPr="00A10F14" w14:paraId="34FE91B0" w14:textId="77777777" w:rsidTr="00EF15B9">
        <w:trPr>
          <w:tblHeader/>
        </w:trPr>
        <w:tc>
          <w:tcPr>
            <w:tcW w:w="1705" w:type="dxa"/>
            <w:shd w:val="clear" w:color="auto" w:fill="0099CC"/>
          </w:tcPr>
          <w:p w14:paraId="65EC7161" w14:textId="77777777" w:rsidR="00A10F14" w:rsidRPr="00A10F14" w:rsidRDefault="00A10F14" w:rsidP="00A10F14">
            <w:pPr>
              <w:jc w:val="center"/>
              <w:rPr>
                <w:rFonts w:cstheme="minorHAnsi"/>
                <w:b/>
              </w:rPr>
            </w:pPr>
          </w:p>
        </w:tc>
        <w:tc>
          <w:tcPr>
            <w:tcW w:w="3330" w:type="dxa"/>
            <w:shd w:val="clear" w:color="auto" w:fill="0099CC"/>
          </w:tcPr>
          <w:p w14:paraId="3AC67818" w14:textId="77777777" w:rsidR="00A10F14" w:rsidRPr="00A10F14" w:rsidRDefault="00A10F14" w:rsidP="00A10F14">
            <w:pPr>
              <w:jc w:val="center"/>
              <w:rPr>
                <w:rFonts w:cstheme="minorHAnsi"/>
                <w:b/>
              </w:rPr>
            </w:pPr>
          </w:p>
        </w:tc>
        <w:tc>
          <w:tcPr>
            <w:tcW w:w="3330" w:type="dxa"/>
            <w:shd w:val="clear" w:color="auto" w:fill="0099CC"/>
          </w:tcPr>
          <w:p w14:paraId="6AFA1319" w14:textId="77777777" w:rsidR="00A10F14" w:rsidRPr="00A10F14" w:rsidRDefault="00A10F14" w:rsidP="00A10F14">
            <w:pPr>
              <w:jc w:val="center"/>
              <w:rPr>
                <w:rFonts w:cstheme="minorHAnsi"/>
                <w:b/>
              </w:rPr>
            </w:pPr>
            <w:r w:rsidRPr="00A10F14">
              <w:rPr>
                <w:rFonts w:cstheme="minorHAnsi"/>
                <w:b/>
              </w:rPr>
              <w:t>MCOs shall provide a brief description for each point within the topic area</w:t>
            </w:r>
          </w:p>
        </w:tc>
        <w:tc>
          <w:tcPr>
            <w:tcW w:w="10530" w:type="dxa"/>
            <w:shd w:val="clear" w:color="auto" w:fill="0099CC"/>
          </w:tcPr>
          <w:p w14:paraId="16BB92E1" w14:textId="77777777" w:rsidR="00A10F14" w:rsidRPr="00A10F14" w:rsidRDefault="00A10F14" w:rsidP="00A10F14">
            <w:pPr>
              <w:jc w:val="center"/>
              <w:rPr>
                <w:rFonts w:cstheme="minorHAnsi"/>
                <w:b/>
              </w:rPr>
            </w:pPr>
          </w:p>
        </w:tc>
      </w:tr>
      <w:tr w:rsidR="00A10F14" w:rsidRPr="00A10F14" w14:paraId="73774131" w14:textId="77777777" w:rsidTr="00EF15B9">
        <w:tc>
          <w:tcPr>
            <w:tcW w:w="1705" w:type="dxa"/>
          </w:tcPr>
          <w:p w14:paraId="2527DF83" w14:textId="77777777" w:rsidR="00A10F14" w:rsidRPr="00F61B3B" w:rsidRDefault="00A10F14" w:rsidP="00A10F14">
            <w:pPr>
              <w:rPr>
                <w:rFonts w:cstheme="minorHAnsi"/>
              </w:rPr>
            </w:pPr>
            <w:r w:rsidRPr="00F61B3B">
              <w:rPr>
                <w:rFonts w:cstheme="minorHAnsi"/>
              </w:rPr>
              <w:t>MCO Credentialing and Contracting</w:t>
            </w:r>
          </w:p>
        </w:tc>
        <w:tc>
          <w:tcPr>
            <w:tcW w:w="3330" w:type="dxa"/>
          </w:tcPr>
          <w:p w14:paraId="05B65E83" w14:textId="77777777" w:rsidR="00A10F14" w:rsidRPr="00F61B3B" w:rsidRDefault="00A10F14" w:rsidP="00A10F14">
            <w:pPr>
              <w:rPr>
                <w:rFonts w:cstheme="minorHAnsi"/>
              </w:rPr>
            </w:pPr>
            <w:r w:rsidRPr="00F61B3B">
              <w:rPr>
                <w:rFonts w:eastAsia="Times New Roman" w:cstheme="minorHAnsi"/>
                <w:color w:val="000000"/>
                <w:sz w:val="20"/>
                <w:szCs w:val="20"/>
              </w:rPr>
              <w:t xml:space="preserve">All EI providers must be credentialed and contracted by each MCO in order to provide services to members enrolled with the MCO.   EI Providers are considered non-par (Providers are not contracted with the MCO) until they are credentialed.          </w:t>
            </w:r>
            <w:r w:rsidRPr="00F61B3B">
              <w:rPr>
                <w:rFonts w:eastAsia="Times New Roman" w:cstheme="minorHAnsi"/>
                <w:color w:val="000000"/>
                <w:sz w:val="20"/>
                <w:szCs w:val="20"/>
              </w:rPr>
              <w:br/>
            </w:r>
            <w:r w:rsidRPr="00F61B3B">
              <w:rPr>
                <w:rFonts w:eastAsia="Times New Roman" w:cstheme="minorHAnsi"/>
                <w:color w:val="000000"/>
                <w:sz w:val="20"/>
                <w:szCs w:val="20"/>
              </w:rPr>
              <w:br/>
              <w:t>All EI providers must be certified by DBHDS and affiliated with a LLA prior to the MCO credentialing and contracting process.</w:t>
            </w:r>
            <w:r w:rsidRPr="00F61B3B">
              <w:rPr>
                <w:rFonts w:eastAsia="Times New Roman" w:cstheme="minorHAnsi"/>
                <w:color w:val="000000"/>
                <w:sz w:val="20"/>
                <w:szCs w:val="20"/>
              </w:rPr>
              <w:br/>
            </w:r>
          </w:p>
        </w:tc>
        <w:tc>
          <w:tcPr>
            <w:tcW w:w="3330" w:type="dxa"/>
          </w:tcPr>
          <w:p w14:paraId="40548ABA" w14:textId="77777777" w:rsidR="00A10F14" w:rsidRPr="00F61B3B" w:rsidRDefault="00A10F14" w:rsidP="00A10F14">
            <w:pPr>
              <w:numPr>
                <w:ilvl w:val="0"/>
                <w:numId w:val="2"/>
              </w:numPr>
              <w:ind w:left="216" w:hanging="216"/>
              <w:contextualSpacing/>
              <w:rPr>
                <w:rFonts w:eastAsia="Times New Roman" w:cstheme="minorHAnsi"/>
                <w:color w:val="000000"/>
                <w:sz w:val="20"/>
                <w:szCs w:val="20"/>
              </w:rPr>
            </w:pPr>
            <w:r w:rsidRPr="00F61B3B">
              <w:rPr>
                <w:rFonts w:eastAsia="Times New Roman" w:cstheme="minorHAnsi"/>
                <w:color w:val="000000"/>
                <w:sz w:val="20"/>
                <w:szCs w:val="20"/>
              </w:rPr>
              <w:t>Credentialing process</w:t>
            </w:r>
          </w:p>
          <w:p w14:paraId="065AD1D3" w14:textId="77777777" w:rsidR="00A10F14" w:rsidRPr="00F61B3B" w:rsidRDefault="00A10F14" w:rsidP="00A10F14">
            <w:pPr>
              <w:numPr>
                <w:ilvl w:val="0"/>
                <w:numId w:val="2"/>
              </w:numPr>
              <w:ind w:left="216" w:hanging="216"/>
              <w:contextualSpacing/>
              <w:rPr>
                <w:rFonts w:eastAsia="Times New Roman" w:cstheme="minorHAnsi"/>
                <w:color w:val="000000"/>
                <w:sz w:val="20"/>
                <w:szCs w:val="20"/>
              </w:rPr>
            </w:pPr>
            <w:r w:rsidRPr="00F61B3B">
              <w:rPr>
                <w:rFonts w:eastAsia="Times New Roman" w:cstheme="minorHAnsi"/>
                <w:color w:val="000000"/>
                <w:sz w:val="20"/>
                <w:szCs w:val="20"/>
              </w:rPr>
              <w:t>CAQH process</w:t>
            </w:r>
          </w:p>
          <w:p w14:paraId="65302D5E" w14:textId="77777777" w:rsidR="00A10F14" w:rsidRPr="00F61B3B" w:rsidRDefault="00A10F14" w:rsidP="00A10F14">
            <w:pPr>
              <w:numPr>
                <w:ilvl w:val="0"/>
                <w:numId w:val="2"/>
              </w:numPr>
              <w:ind w:left="216" w:hanging="216"/>
              <w:contextualSpacing/>
              <w:rPr>
                <w:rFonts w:eastAsia="Times New Roman" w:cstheme="minorHAnsi"/>
                <w:color w:val="000000"/>
                <w:sz w:val="20"/>
                <w:szCs w:val="20"/>
              </w:rPr>
            </w:pPr>
            <w:r w:rsidRPr="00F61B3B">
              <w:rPr>
                <w:rFonts w:eastAsia="Times New Roman" w:cstheme="minorHAnsi"/>
                <w:color w:val="000000"/>
                <w:sz w:val="20"/>
                <w:szCs w:val="20"/>
              </w:rPr>
              <w:t>Contracting process</w:t>
            </w:r>
          </w:p>
          <w:p w14:paraId="04496550" w14:textId="77777777" w:rsidR="00A10F14" w:rsidRPr="00F61B3B" w:rsidRDefault="00A10F14" w:rsidP="00A10F14">
            <w:pPr>
              <w:numPr>
                <w:ilvl w:val="0"/>
                <w:numId w:val="2"/>
              </w:numPr>
              <w:ind w:left="216" w:hanging="216"/>
              <w:contextualSpacing/>
              <w:rPr>
                <w:rFonts w:eastAsia="Times New Roman" w:cstheme="minorHAnsi"/>
                <w:color w:val="000000"/>
                <w:sz w:val="20"/>
                <w:szCs w:val="20"/>
              </w:rPr>
            </w:pPr>
            <w:r w:rsidRPr="00F61B3B">
              <w:rPr>
                <w:rFonts w:eastAsia="Times New Roman" w:cstheme="minorHAnsi"/>
                <w:color w:val="000000"/>
                <w:sz w:val="20"/>
                <w:szCs w:val="20"/>
              </w:rPr>
              <w:t>Credentialing and contracting educators and other non-traditional disciplines</w:t>
            </w:r>
          </w:p>
          <w:p w14:paraId="0EC072B3" w14:textId="77777777" w:rsidR="00A10F14" w:rsidRPr="00F61B3B" w:rsidRDefault="00A10F14" w:rsidP="00A10F14">
            <w:pPr>
              <w:numPr>
                <w:ilvl w:val="0"/>
                <w:numId w:val="2"/>
              </w:numPr>
              <w:ind w:left="216" w:hanging="216"/>
              <w:contextualSpacing/>
              <w:rPr>
                <w:rFonts w:eastAsia="Times New Roman" w:cstheme="minorHAnsi"/>
                <w:color w:val="000000"/>
                <w:sz w:val="20"/>
                <w:szCs w:val="20"/>
              </w:rPr>
            </w:pPr>
            <w:r w:rsidRPr="00F61B3B">
              <w:rPr>
                <w:rFonts w:eastAsia="Times New Roman" w:cstheme="minorHAnsi"/>
                <w:color w:val="000000"/>
                <w:sz w:val="20"/>
                <w:szCs w:val="20"/>
              </w:rPr>
              <w:t>Credentialing and contracting service coordinators</w:t>
            </w:r>
          </w:p>
          <w:p w14:paraId="07FCFF31" w14:textId="77777777" w:rsidR="00A10F14" w:rsidRPr="00F61B3B" w:rsidRDefault="00A10F14" w:rsidP="00A10F14">
            <w:pPr>
              <w:numPr>
                <w:ilvl w:val="0"/>
                <w:numId w:val="2"/>
              </w:numPr>
              <w:ind w:left="216" w:hanging="216"/>
              <w:contextualSpacing/>
              <w:rPr>
                <w:rFonts w:eastAsia="Times New Roman" w:cstheme="minorHAnsi"/>
                <w:color w:val="000000"/>
                <w:sz w:val="20"/>
                <w:szCs w:val="20"/>
              </w:rPr>
            </w:pPr>
            <w:r w:rsidRPr="00F61B3B">
              <w:rPr>
                <w:rFonts w:eastAsia="Times New Roman" w:cstheme="minorHAnsi"/>
                <w:color w:val="000000"/>
                <w:sz w:val="20"/>
                <w:szCs w:val="20"/>
              </w:rPr>
              <w:t>Handling of out-of-network providers</w:t>
            </w:r>
          </w:p>
        </w:tc>
        <w:tc>
          <w:tcPr>
            <w:tcW w:w="10530" w:type="dxa"/>
          </w:tcPr>
          <w:p w14:paraId="0FD6BD31" w14:textId="7A2DA97E" w:rsidR="00A10F14" w:rsidRPr="00F61B3B" w:rsidRDefault="00A10F14" w:rsidP="00A10F14">
            <w:pPr>
              <w:rPr>
                <w:rFonts w:cstheme="minorHAnsi"/>
              </w:rPr>
            </w:pPr>
            <w:r w:rsidRPr="00F61B3B">
              <w:rPr>
                <w:rFonts w:cstheme="minorHAnsi"/>
              </w:rPr>
              <w:t>Please visit our website and watch a short video on the UHC medical (MD, RN, PT, OT, SLP etc.) credentialing process by accessing the link below or calling 877-842-3210.  We’ve also embedded an FAQ document about credentialing that outlines the CAQH process and contracting process</w:t>
            </w:r>
            <w:r w:rsidR="00E10712" w:rsidRPr="00F61B3B">
              <w:rPr>
                <w:rFonts w:cstheme="minorHAnsi"/>
              </w:rPr>
              <w:t xml:space="preserve"> as well as PRSS enrollment guidance for EI providers.</w:t>
            </w:r>
          </w:p>
          <w:p w14:paraId="3C24B1BB" w14:textId="77777777" w:rsidR="00A10F14" w:rsidRPr="00F61B3B" w:rsidRDefault="00000000" w:rsidP="00A10F14">
            <w:pPr>
              <w:rPr>
                <w:rFonts w:cstheme="minorHAnsi"/>
              </w:rPr>
            </w:pPr>
            <w:hyperlink r:id="rId29" w:history="1">
              <w:r w:rsidR="00A10F14" w:rsidRPr="00F61B3B">
                <w:rPr>
                  <w:rFonts w:cstheme="minorHAnsi"/>
                  <w:color w:val="0000FF"/>
                  <w:u w:val="single"/>
                </w:rPr>
                <w:t>https://www.uhcprovider.com/en/resource-library/Join-Our-Network.html</w:t>
              </w:r>
            </w:hyperlink>
            <w:r w:rsidR="00A10F14" w:rsidRPr="00F61B3B">
              <w:rPr>
                <w:rFonts w:cstheme="minorHAnsi"/>
              </w:rPr>
              <w:t xml:space="preserve"> or call </w:t>
            </w:r>
          </w:p>
          <w:p w14:paraId="66C31DDC" w14:textId="1C7BF0B8" w:rsidR="00A10F14" w:rsidRPr="00F61B3B" w:rsidRDefault="00A10F14" w:rsidP="00A10F14">
            <w:pPr>
              <w:rPr>
                <w:rFonts w:eastAsia="Times New Roman" w:cstheme="minorHAnsi"/>
                <w:color w:val="000000"/>
                <w:sz w:val="20"/>
                <w:szCs w:val="20"/>
              </w:rPr>
            </w:pPr>
            <w:r w:rsidRPr="00F61B3B">
              <w:rPr>
                <w:rFonts w:eastAsia="Times New Roman" w:cstheme="minorHAnsi"/>
                <w:color w:val="000000"/>
                <w:sz w:val="20"/>
                <w:szCs w:val="20"/>
              </w:rPr>
              <w:object w:dxaOrig="1543" w:dyaOrig="1000" w14:anchorId="6DC89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30" o:title=""/>
                </v:shape>
                <o:OLEObject Type="Embed" ProgID="Acrobat.Document.DC" ShapeID="_x0000_i1025" DrawAspect="Icon" ObjectID="_1777443943" r:id="rId31"/>
              </w:object>
            </w:r>
            <w:r w:rsidR="00E10712" w:rsidRPr="00F61B3B">
              <w:rPr>
                <w:rFonts w:eastAsia="Times New Roman" w:cstheme="minorHAnsi"/>
                <w:color w:val="000000"/>
                <w:sz w:val="20"/>
                <w:szCs w:val="20"/>
              </w:rPr>
              <w:object w:dxaOrig="1376" w:dyaOrig="899" w14:anchorId="6E5820C3">
                <v:shape id="_x0000_i1026" type="#_x0000_t75" style="width:69pt;height:45pt" o:ole="">
                  <v:imagedata r:id="rId32" o:title=""/>
                </v:shape>
                <o:OLEObject Type="Embed" ProgID="Acrobat.Document.DC" ShapeID="_x0000_i1026" DrawAspect="Icon" ObjectID="_1777443944" r:id="rId33"/>
              </w:object>
            </w:r>
            <w:r w:rsidR="00E10712" w:rsidRPr="00F61B3B">
              <w:rPr>
                <w:rFonts w:eastAsia="Times New Roman" w:cstheme="minorHAnsi"/>
                <w:color w:val="000000"/>
                <w:sz w:val="20"/>
                <w:szCs w:val="20"/>
              </w:rPr>
              <w:object w:dxaOrig="1508" w:dyaOrig="984" w14:anchorId="1F946F3B">
                <v:shape id="_x0000_i1027" type="#_x0000_t75" style="width:75.75pt;height:49.5pt" o:ole="">
                  <v:imagedata r:id="rId34" o:title=""/>
                </v:shape>
                <o:OLEObject Type="Embed" ProgID="Acrobat.Document.DC" ShapeID="_x0000_i1027" DrawAspect="Icon" ObjectID="_1777443945" r:id="rId35"/>
              </w:object>
            </w:r>
          </w:p>
          <w:p w14:paraId="665D7356" w14:textId="77777777" w:rsidR="00A10F14" w:rsidRPr="00F61B3B" w:rsidRDefault="00A10F14" w:rsidP="00A10F14">
            <w:pPr>
              <w:rPr>
                <w:rFonts w:eastAsia="Times New Roman" w:cstheme="minorHAnsi"/>
                <w:color w:val="000000"/>
              </w:rPr>
            </w:pPr>
            <w:r w:rsidRPr="00F61B3B">
              <w:rPr>
                <w:rFonts w:eastAsia="Times New Roman" w:cstheme="minorHAnsi"/>
                <w:color w:val="000000"/>
              </w:rPr>
              <w:t>For Behavioral Health provider types visit:</w:t>
            </w:r>
          </w:p>
          <w:p w14:paraId="2A1E9218" w14:textId="77777777" w:rsidR="00A10F14" w:rsidRPr="00F61B3B" w:rsidRDefault="00A10F14" w:rsidP="00A10F14">
            <w:pPr>
              <w:rPr>
                <w:rFonts w:cstheme="minorHAnsi"/>
              </w:rPr>
            </w:pPr>
            <w:r w:rsidRPr="00F61B3B">
              <w:rPr>
                <w:rFonts w:eastAsia="Times New Roman" w:cstheme="minorHAnsi"/>
                <w:color w:val="000000"/>
                <w:sz w:val="20"/>
                <w:szCs w:val="20"/>
              </w:rPr>
              <w:t xml:space="preserve"> </w:t>
            </w:r>
            <w:hyperlink r:id="rId36" w:history="1">
              <w:r w:rsidRPr="00F61B3B">
                <w:rPr>
                  <w:rFonts w:cstheme="minorHAnsi"/>
                  <w:color w:val="0000FF"/>
                  <w:u w:val="single"/>
                </w:rPr>
                <w:t>https://www.providerexpress.com/content/ope-provexpr/us/en/our-network/jon.html</w:t>
              </w:r>
            </w:hyperlink>
            <w:r w:rsidRPr="00F61B3B">
              <w:rPr>
                <w:rFonts w:cstheme="minorHAnsi"/>
              </w:rPr>
              <w:t xml:space="preserve"> or call (877) 614-0484.</w:t>
            </w:r>
          </w:p>
          <w:p w14:paraId="71D7731D" w14:textId="77777777" w:rsidR="00A10F14" w:rsidRPr="00F61B3B" w:rsidRDefault="00A10F14" w:rsidP="00A10F14">
            <w:pPr>
              <w:rPr>
                <w:rFonts w:cstheme="minorHAnsi"/>
              </w:rPr>
            </w:pPr>
          </w:p>
          <w:p w14:paraId="71681BEA" w14:textId="77777777" w:rsidR="00A10F14" w:rsidRPr="00F61B3B" w:rsidRDefault="00A10F14" w:rsidP="00A10F14">
            <w:pPr>
              <w:rPr>
                <w:rFonts w:cstheme="minorHAnsi"/>
              </w:rPr>
            </w:pPr>
            <w:r w:rsidRPr="00F61B3B">
              <w:rPr>
                <w:rFonts w:cstheme="minorHAnsi"/>
              </w:rPr>
              <w:t>Credentialing Application guide:</w:t>
            </w:r>
          </w:p>
          <w:p w14:paraId="4203CDEE" w14:textId="77777777" w:rsidR="00A10F14" w:rsidRPr="00F61B3B" w:rsidRDefault="00000000" w:rsidP="00A10F14">
            <w:pPr>
              <w:rPr>
                <w:rFonts w:cstheme="minorHAnsi"/>
              </w:rPr>
            </w:pPr>
            <w:hyperlink r:id="rId37" w:history="1">
              <w:r w:rsidR="00A10F14" w:rsidRPr="00F61B3B">
                <w:rPr>
                  <w:rFonts w:cstheme="minorHAnsi"/>
                  <w:color w:val="0000FF"/>
                  <w:u w:val="single"/>
                </w:rPr>
                <w:t>https://www.providerexpress.com/content/dam/ope-provexpr/us/pdfs/ourNetworkMain/jon/ProvGuide-CredApp.pdf</w:t>
              </w:r>
            </w:hyperlink>
          </w:p>
          <w:p w14:paraId="26FFE8EC" w14:textId="77777777" w:rsidR="00A10F14" w:rsidRPr="00F61B3B" w:rsidRDefault="00A10F14" w:rsidP="00A10F14">
            <w:pPr>
              <w:rPr>
                <w:rFonts w:eastAsia="Times New Roman" w:cstheme="minorHAnsi"/>
                <w:color w:val="000000"/>
                <w:sz w:val="20"/>
                <w:szCs w:val="20"/>
              </w:rPr>
            </w:pPr>
          </w:p>
          <w:p w14:paraId="429767D2" w14:textId="77777777" w:rsidR="00A10F14" w:rsidRPr="00F61B3B" w:rsidRDefault="00A10F14" w:rsidP="00A10F14">
            <w:pPr>
              <w:rPr>
                <w:rFonts w:eastAsia="Times New Roman" w:cstheme="minorHAnsi"/>
                <w:color w:val="000000"/>
              </w:rPr>
            </w:pPr>
            <w:r w:rsidRPr="00F61B3B">
              <w:rPr>
                <w:rFonts w:eastAsia="Times New Roman" w:cstheme="minorHAnsi"/>
                <w:color w:val="000000"/>
              </w:rPr>
              <w:t>Lastly, United Healthcare does not formally credential non-licensed providers (educators and other non-traditional disciplines). Continue to include them on your LLA roster to be added by our plan and formal credentialing will be waived.</w:t>
            </w:r>
          </w:p>
          <w:p w14:paraId="4576C512" w14:textId="77777777" w:rsidR="00A10F14" w:rsidRPr="00F61B3B" w:rsidRDefault="00A10F14" w:rsidP="00A10F14">
            <w:pPr>
              <w:rPr>
                <w:rFonts w:eastAsia="Times New Roman" w:cstheme="minorHAnsi"/>
                <w:color w:val="000000"/>
              </w:rPr>
            </w:pPr>
          </w:p>
          <w:p w14:paraId="78731EF3" w14:textId="77777777" w:rsidR="00A10F14" w:rsidRPr="00F61B3B" w:rsidRDefault="00A10F14" w:rsidP="00A10F14">
            <w:pPr>
              <w:rPr>
                <w:rFonts w:eastAsia="Times New Roman" w:cstheme="minorHAnsi"/>
                <w:color w:val="000000"/>
              </w:rPr>
            </w:pPr>
            <w:r w:rsidRPr="00F61B3B">
              <w:rPr>
                <w:rFonts w:eastAsia="Times New Roman" w:cstheme="minorHAnsi"/>
                <w:color w:val="000000"/>
              </w:rPr>
              <w:t xml:space="preserve">For non-participating providers we do not require prior-authorization for Early Intervention services, however if an Early intervention provider has never billed claims to UHC, the claim will </w:t>
            </w:r>
            <w:proofErr w:type="spellStart"/>
            <w:r w:rsidRPr="00F61B3B">
              <w:rPr>
                <w:rFonts w:eastAsia="Times New Roman" w:cstheme="minorHAnsi"/>
                <w:color w:val="000000"/>
              </w:rPr>
              <w:t>pend</w:t>
            </w:r>
            <w:proofErr w:type="spellEnd"/>
            <w:r w:rsidRPr="00F61B3B">
              <w:rPr>
                <w:rFonts w:eastAsia="Times New Roman" w:cstheme="minorHAnsi"/>
                <w:color w:val="000000"/>
              </w:rPr>
              <w:t xml:space="preserve"> for additional information, outreach will be made to obtain a W-9 and validate DBHS certification. Once outstanding information is received, UHC will create an out of network provider ID, load the claim, and complete claims processing.</w:t>
            </w:r>
          </w:p>
        </w:tc>
      </w:tr>
      <w:tr w:rsidR="00A10F14" w:rsidRPr="00A10F14" w14:paraId="28F5A189" w14:textId="77777777" w:rsidTr="00EF15B9">
        <w:tc>
          <w:tcPr>
            <w:tcW w:w="1705" w:type="dxa"/>
          </w:tcPr>
          <w:p w14:paraId="410CEAD0" w14:textId="77777777" w:rsidR="00A10F14" w:rsidRPr="00A10F14" w:rsidRDefault="00A10F14" w:rsidP="00A10F14">
            <w:pPr>
              <w:rPr>
                <w:rFonts w:cstheme="minorHAnsi"/>
              </w:rPr>
            </w:pPr>
            <w:r w:rsidRPr="00A10F14">
              <w:rPr>
                <w:rFonts w:cstheme="minorHAnsi"/>
              </w:rPr>
              <w:t>Malpractice Insurance for Educators</w:t>
            </w:r>
          </w:p>
        </w:tc>
        <w:tc>
          <w:tcPr>
            <w:tcW w:w="3330" w:type="dxa"/>
          </w:tcPr>
          <w:p w14:paraId="27990AB3" w14:textId="77777777" w:rsidR="00A10F14" w:rsidRPr="00A10F14" w:rsidRDefault="00A10F14" w:rsidP="00A10F14">
            <w:pPr>
              <w:rPr>
                <w:rFonts w:cstheme="minorHAnsi"/>
              </w:rPr>
            </w:pPr>
            <w:r w:rsidRPr="00A10F14">
              <w:rPr>
                <w:rFonts w:cstheme="minorHAnsi"/>
              </w:rPr>
              <w:t>Providers must have malpractice insurance if they are not covered by the local system.</w:t>
            </w:r>
          </w:p>
        </w:tc>
        <w:tc>
          <w:tcPr>
            <w:tcW w:w="3330" w:type="dxa"/>
          </w:tcPr>
          <w:p w14:paraId="353C4667" w14:textId="77777777" w:rsidR="00A10F14" w:rsidRPr="00A10F14" w:rsidRDefault="00A10F14" w:rsidP="00A10F14">
            <w:pPr>
              <w:numPr>
                <w:ilvl w:val="0"/>
                <w:numId w:val="3"/>
              </w:numPr>
              <w:ind w:left="216" w:hanging="216"/>
              <w:contextualSpacing/>
              <w:rPr>
                <w:rFonts w:cstheme="minorHAnsi"/>
              </w:rPr>
            </w:pPr>
            <w:r w:rsidRPr="00A10F14">
              <w:rPr>
                <w:rFonts w:cstheme="minorHAnsi"/>
              </w:rPr>
              <w:t xml:space="preserve">Requirements related to malpractice insurance for educators and non-traditional disciplines </w:t>
            </w:r>
          </w:p>
        </w:tc>
        <w:tc>
          <w:tcPr>
            <w:tcW w:w="10530" w:type="dxa"/>
          </w:tcPr>
          <w:p w14:paraId="64659AEF" w14:textId="77777777" w:rsidR="00A10F14" w:rsidRPr="00A10F14" w:rsidRDefault="00A10F14" w:rsidP="00A10F14">
            <w:pPr>
              <w:rPr>
                <w:rFonts w:cstheme="minorHAnsi"/>
              </w:rPr>
            </w:pPr>
            <w:r w:rsidRPr="00A10F14">
              <w:rPr>
                <w:rFonts w:cstheme="minorHAnsi"/>
              </w:rPr>
              <w:t>UHC would expect that the individual practitioner or their group affiliation would have appropriate insurance in place</w:t>
            </w:r>
            <w:r w:rsidRPr="00A10F14">
              <w:rPr>
                <w:rFonts w:cstheme="minorHAnsi"/>
                <w:color w:val="FF0000"/>
              </w:rPr>
              <w:t>.</w:t>
            </w:r>
          </w:p>
        </w:tc>
      </w:tr>
      <w:tr w:rsidR="00A10F14" w:rsidRPr="00A10F14" w14:paraId="0A992695" w14:textId="77777777" w:rsidTr="00EF15B9">
        <w:tc>
          <w:tcPr>
            <w:tcW w:w="1705" w:type="dxa"/>
          </w:tcPr>
          <w:p w14:paraId="7242CF05" w14:textId="77777777" w:rsidR="00A10F14" w:rsidRPr="00A10F14" w:rsidRDefault="00A10F14" w:rsidP="00A10F14">
            <w:pPr>
              <w:rPr>
                <w:rFonts w:cstheme="minorHAnsi"/>
              </w:rPr>
            </w:pPr>
            <w:r w:rsidRPr="00A10F14">
              <w:rPr>
                <w:rFonts w:cstheme="minorHAnsi"/>
              </w:rPr>
              <w:lastRenderedPageBreak/>
              <w:t>IFSP</w:t>
            </w:r>
          </w:p>
          <w:p w14:paraId="080CF33F" w14:textId="77777777" w:rsidR="00A10F14" w:rsidRPr="00A10F14" w:rsidRDefault="00A10F14" w:rsidP="00A10F14">
            <w:pPr>
              <w:rPr>
                <w:rFonts w:cstheme="minorHAnsi"/>
              </w:rPr>
            </w:pPr>
          </w:p>
          <w:p w14:paraId="73DC783F" w14:textId="77777777" w:rsidR="00A10F14" w:rsidRPr="00A10F14" w:rsidRDefault="00A10F14" w:rsidP="00A10F14">
            <w:pPr>
              <w:rPr>
                <w:rFonts w:cstheme="minorHAnsi"/>
              </w:rPr>
            </w:pPr>
          </w:p>
          <w:p w14:paraId="6BFE0A36" w14:textId="77777777" w:rsidR="00A10F14" w:rsidRPr="00A10F14" w:rsidRDefault="00A10F14" w:rsidP="00A10F14">
            <w:pPr>
              <w:rPr>
                <w:rFonts w:cstheme="minorHAnsi"/>
              </w:rPr>
            </w:pPr>
          </w:p>
          <w:p w14:paraId="0BDAA73E" w14:textId="77777777" w:rsidR="00A10F14" w:rsidRPr="00A10F14" w:rsidRDefault="00A10F14" w:rsidP="00A10F14">
            <w:pPr>
              <w:jc w:val="center"/>
              <w:rPr>
                <w:rFonts w:cstheme="minorHAnsi"/>
              </w:rPr>
            </w:pPr>
          </w:p>
        </w:tc>
        <w:tc>
          <w:tcPr>
            <w:tcW w:w="3330" w:type="dxa"/>
          </w:tcPr>
          <w:p w14:paraId="5E4E9F1B" w14:textId="77777777" w:rsidR="00A10F14" w:rsidRPr="00A10F14" w:rsidRDefault="00A10F14" w:rsidP="00A10F14">
            <w:pPr>
              <w:rPr>
                <w:rFonts w:cstheme="minorHAnsi"/>
              </w:rPr>
            </w:pPr>
            <w:r w:rsidRPr="00A10F14">
              <w:rPr>
                <w:rFonts w:cstheme="minorHAnsi"/>
              </w:rPr>
              <w:t xml:space="preserve">IFSP must be on file with the MCO for the claim to be considered a Clean Claim. </w:t>
            </w:r>
          </w:p>
          <w:p w14:paraId="093AC7BF" w14:textId="77777777" w:rsidR="00A10F14" w:rsidRPr="00A10F14" w:rsidRDefault="00A10F14" w:rsidP="00A10F14">
            <w:pPr>
              <w:rPr>
                <w:rFonts w:cstheme="minorHAnsi"/>
              </w:rPr>
            </w:pPr>
          </w:p>
          <w:p w14:paraId="2F0DA44F" w14:textId="77777777" w:rsidR="00A10F14" w:rsidRPr="00A10F14" w:rsidRDefault="00A10F14" w:rsidP="00A10F14">
            <w:pPr>
              <w:rPr>
                <w:rFonts w:cstheme="minorHAnsi"/>
              </w:rPr>
            </w:pPr>
            <w:r w:rsidRPr="00A10F14">
              <w:rPr>
                <w:rFonts w:cstheme="minorHAnsi"/>
              </w:rPr>
              <w:t>If the IFSP is not on file with the MCO prior to the MCO receiving the claim, the claim will not be considered clean and the 14-day timeframe does not apply.</w:t>
            </w:r>
          </w:p>
        </w:tc>
        <w:tc>
          <w:tcPr>
            <w:tcW w:w="3330" w:type="dxa"/>
          </w:tcPr>
          <w:p w14:paraId="39652DD6" w14:textId="77777777" w:rsidR="00A10F14" w:rsidRPr="00A10F14" w:rsidRDefault="00A10F14" w:rsidP="00A10F14">
            <w:pPr>
              <w:numPr>
                <w:ilvl w:val="0"/>
                <w:numId w:val="3"/>
              </w:numPr>
              <w:ind w:left="216" w:hanging="216"/>
              <w:contextualSpacing/>
              <w:rPr>
                <w:rFonts w:cstheme="minorHAnsi"/>
              </w:rPr>
            </w:pPr>
            <w:r w:rsidRPr="00A10F14">
              <w:rPr>
                <w:rFonts w:cstheme="minorHAnsi"/>
              </w:rPr>
              <w:t>Method for LLAs to submit IFSP (fax, email) with the specific contact information</w:t>
            </w:r>
          </w:p>
          <w:p w14:paraId="799C3AFD" w14:textId="77777777" w:rsidR="00A10F14" w:rsidRPr="00A10F14" w:rsidRDefault="00A10F14" w:rsidP="00A10F14">
            <w:pPr>
              <w:numPr>
                <w:ilvl w:val="0"/>
                <w:numId w:val="3"/>
              </w:numPr>
              <w:ind w:left="216" w:hanging="216"/>
              <w:contextualSpacing/>
              <w:rPr>
                <w:rFonts w:cstheme="minorHAnsi"/>
              </w:rPr>
            </w:pPr>
            <w:r w:rsidRPr="00A10F14">
              <w:rPr>
                <w:rFonts w:cstheme="minorHAnsi"/>
              </w:rPr>
              <w:t>Submission process of multiple IFSPs, i.e., batch or individual files</w:t>
            </w:r>
          </w:p>
          <w:p w14:paraId="798FEA5A" w14:textId="77777777" w:rsidR="00A10F14" w:rsidRPr="00A10F14" w:rsidRDefault="00A10F14" w:rsidP="00A10F14">
            <w:pPr>
              <w:numPr>
                <w:ilvl w:val="0"/>
                <w:numId w:val="3"/>
              </w:numPr>
              <w:ind w:left="216" w:hanging="216"/>
              <w:contextualSpacing/>
              <w:rPr>
                <w:rFonts w:cstheme="minorHAnsi"/>
              </w:rPr>
            </w:pPr>
            <w:r w:rsidRPr="00A10F14">
              <w:rPr>
                <w:rFonts w:cstheme="minorHAnsi"/>
              </w:rPr>
              <w:t>Confirmation of receipt of IFSP</w:t>
            </w:r>
          </w:p>
        </w:tc>
        <w:tc>
          <w:tcPr>
            <w:tcW w:w="10530" w:type="dxa"/>
          </w:tcPr>
          <w:p w14:paraId="211E7502" w14:textId="77777777" w:rsidR="00A10F14" w:rsidRPr="00A10F14" w:rsidRDefault="00A10F14" w:rsidP="00A10F14">
            <w:pPr>
              <w:numPr>
                <w:ilvl w:val="0"/>
                <w:numId w:val="17"/>
              </w:numPr>
              <w:contextualSpacing/>
              <w:rPr>
                <w:rFonts w:cstheme="minorHAnsi"/>
              </w:rPr>
            </w:pPr>
            <w:r w:rsidRPr="00A10F14">
              <w:rPr>
                <w:rFonts w:cstheme="minorHAnsi"/>
              </w:rPr>
              <w:t>UHC receives IFSPs via secure fax (these convert to PDFs to a secured fax email) at the following numbers:</w:t>
            </w:r>
          </w:p>
          <w:p w14:paraId="29C443C4" w14:textId="79ED6F15" w:rsidR="00A10F14" w:rsidRPr="00A10F14" w:rsidRDefault="00E10712" w:rsidP="00A10F14">
            <w:pPr>
              <w:numPr>
                <w:ilvl w:val="1"/>
                <w:numId w:val="17"/>
              </w:numPr>
              <w:contextualSpacing/>
              <w:rPr>
                <w:rFonts w:cstheme="minorHAnsi"/>
              </w:rPr>
            </w:pPr>
            <w:r>
              <w:rPr>
                <w:rFonts w:cstheme="minorHAnsi"/>
              </w:rPr>
              <w:t>855-770-7088</w:t>
            </w:r>
          </w:p>
          <w:p w14:paraId="69687537" w14:textId="77777777" w:rsidR="00A10F14" w:rsidRPr="00A10F14" w:rsidRDefault="00A10F14" w:rsidP="00A10F14">
            <w:pPr>
              <w:numPr>
                <w:ilvl w:val="0"/>
                <w:numId w:val="17"/>
              </w:numPr>
              <w:contextualSpacing/>
              <w:rPr>
                <w:rFonts w:cstheme="minorHAnsi"/>
              </w:rPr>
            </w:pPr>
            <w:r w:rsidRPr="00A10F14">
              <w:rPr>
                <w:rFonts w:cstheme="minorHAnsi"/>
              </w:rPr>
              <w:t>Our clinical team receives the IFSP, performs triage and assigns to the appropriate Care Coordinator for outreach to the LLA case manager.  During the outreach, the Care Coordinator will introduce his or herself from the MCO and exchange contact information.</w:t>
            </w:r>
          </w:p>
          <w:p w14:paraId="6765B5F7" w14:textId="77777777" w:rsidR="00A10F14" w:rsidRPr="00A10F14" w:rsidRDefault="00A10F14" w:rsidP="00A10F14">
            <w:pPr>
              <w:numPr>
                <w:ilvl w:val="0"/>
                <w:numId w:val="17"/>
              </w:numPr>
              <w:contextualSpacing/>
              <w:rPr>
                <w:rFonts w:cstheme="minorHAnsi"/>
              </w:rPr>
            </w:pPr>
            <w:r w:rsidRPr="00A10F14">
              <w:rPr>
                <w:rFonts w:cstheme="minorHAnsi"/>
              </w:rPr>
              <w:t>Individual IFSPs should be sent as these are appended in individual member electronic records.</w:t>
            </w:r>
          </w:p>
          <w:p w14:paraId="4402AFA7" w14:textId="77777777" w:rsidR="00A10F14" w:rsidRPr="00A10F14" w:rsidRDefault="00A10F14" w:rsidP="00A10F14">
            <w:pPr>
              <w:numPr>
                <w:ilvl w:val="0"/>
                <w:numId w:val="17"/>
              </w:numPr>
              <w:contextualSpacing/>
              <w:rPr>
                <w:rFonts w:cstheme="minorHAnsi"/>
              </w:rPr>
            </w:pPr>
            <w:r w:rsidRPr="00A10F14">
              <w:rPr>
                <w:rFonts w:cstheme="minorHAnsi"/>
              </w:rPr>
              <w:t>UHC views your successful fax transmission report as valid confirmation of receipt.</w:t>
            </w:r>
          </w:p>
          <w:p w14:paraId="36197B3A" w14:textId="77777777" w:rsidR="00A10F14" w:rsidRPr="00A10F14" w:rsidRDefault="00A10F14" w:rsidP="00A10F14">
            <w:pPr>
              <w:rPr>
                <w:rFonts w:cstheme="minorHAnsi"/>
              </w:rPr>
            </w:pPr>
          </w:p>
        </w:tc>
      </w:tr>
      <w:tr w:rsidR="00A10F14" w:rsidRPr="00A10F14" w14:paraId="21148E5C" w14:textId="77777777" w:rsidTr="00EF15B9">
        <w:tc>
          <w:tcPr>
            <w:tcW w:w="1705" w:type="dxa"/>
          </w:tcPr>
          <w:p w14:paraId="3069D2AF" w14:textId="77777777" w:rsidR="00A10F14" w:rsidRPr="00A10F14" w:rsidRDefault="00A10F14" w:rsidP="00A10F14">
            <w:pPr>
              <w:rPr>
                <w:rFonts w:cstheme="minorHAnsi"/>
              </w:rPr>
            </w:pPr>
            <w:r w:rsidRPr="00A10F14">
              <w:rPr>
                <w:rFonts w:cstheme="minorHAnsi"/>
              </w:rPr>
              <w:t>Clean Claim</w:t>
            </w:r>
          </w:p>
        </w:tc>
        <w:tc>
          <w:tcPr>
            <w:tcW w:w="3330" w:type="dxa"/>
          </w:tcPr>
          <w:p w14:paraId="66C45206" w14:textId="77777777" w:rsidR="00A10F14" w:rsidRPr="00A10F14" w:rsidRDefault="00A10F14" w:rsidP="00A10F14">
            <w:pPr>
              <w:rPr>
                <w:rFonts w:cstheme="minorHAnsi"/>
              </w:rPr>
            </w:pPr>
            <w:r w:rsidRPr="00A10F14">
              <w:rPr>
                <w:rFonts w:cstheme="minorHAnsi"/>
              </w:rPr>
              <w:t>Clean claims must be paid within 14 days.</w:t>
            </w:r>
          </w:p>
        </w:tc>
        <w:tc>
          <w:tcPr>
            <w:tcW w:w="3330" w:type="dxa"/>
          </w:tcPr>
          <w:p w14:paraId="148B90D7" w14:textId="77777777" w:rsidR="00A10F14" w:rsidRPr="00A10F14" w:rsidRDefault="00A10F14" w:rsidP="00A10F14">
            <w:pPr>
              <w:numPr>
                <w:ilvl w:val="0"/>
                <w:numId w:val="4"/>
              </w:numPr>
              <w:ind w:left="216" w:hanging="216"/>
              <w:contextualSpacing/>
              <w:rPr>
                <w:rFonts w:cstheme="minorHAnsi"/>
              </w:rPr>
            </w:pPr>
            <w:r w:rsidRPr="00A10F14">
              <w:rPr>
                <w:rFonts w:cstheme="minorHAnsi"/>
              </w:rPr>
              <w:t>Process for non-clean claims, i.e., rejected or denied</w:t>
            </w:r>
          </w:p>
          <w:p w14:paraId="494047B8" w14:textId="77777777" w:rsidR="00A10F14" w:rsidRPr="00A10F14" w:rsidRDefault="00A10F14" w:rsidP="00A10F14">
            <w:pPr>
              <w:numPr>
                <w:ilvl w:val="0"/>
                <w:numId w:val="4"/>
              </w:numPr>
              <w:ind w:left="216" w:hanging="216"/>
              <w:contextualSpacing/>
              <w:rPr>
                <w:rFonts w:cstheme="minorHAnsi"/>
              </w:rPr>
            </w:pPr>
            <w:r w:rsidRPr="00A10F14">
              <w:rPr>
                <w:rFonts w:cstheme="minorHAnsi"/>
              </w:rPr>
              <w:t>Process for handling non-clean claims with the provider</w:t>
            </w:r>
          </w:p>
        </w:tc>
        <w:tc>
          <w:tcPr>
            <w:tcW w:w="10530" w:type="dxa"/>
          </w:tcPr>
          <w:p w14:paraId="420C3FDA" w14:textId="77777777" w:rsidR="00A10F14" w:rsidRPr="00A10F14" w:rsidRDefault="00A10F14" w:rsidP="00A10F14">
            <w:pPr>
              <w:numPr>
                <w:ilvl w:val="0"/>
                <w:numId w:val="18"/>
              </w:numPr>
              <w:contextualSpacing/>
              <w:rPr>
                <w:rFonts w:cstheme="minorHAnsi"/>
              </w:rPr>
            </w:pPr>
            <w:r w:rsidRPr="00A10F14">
              <w:rPr>
                <w:rFonts w:cstheme="minorHAnsi"/>
              </w:rPr>
              <w:t xml:space="preserve">If we are missing information/documentation a claim is not considered “clean”.  UHC will </w:t>
            </w:r>
            <w:proofErr w:type="spellStart"/>
            <w:r w:rsidRPr="00A10F14">
              <w:rPr>
                <w:rFonts w:cstheme="minorHAnsi"/>
              </w:rPr>
              <w:t>pend</w:t>
            </w:r>
            <w:proofErr w:type="spellEnd"/>
            <w:r w:rsidRPr="00A10F14">
              <w:rPr>
                <w:rFonts w:cstheme="minorHAnsi"/>
              </w:rPr>
              <w:t xml:space="preserve"> and either outreach to the provider or deny with a provider remittance advice (PRA) denial reason.</w:t>
            </w:r>
            <w:r w:rsidRPr="00A10F14">
              <w:rPr>
                <w:rFonts w:cstheme="minorHAnsi"/>
                <w:b/>
                <w:color w:val="FF0000"/>
              </w:rPr>
              <w:t xml:space="preserve"> </w:t>
            </w:r>
            <w:r w:rsidRPr="00A10F14">
              <w:rPr>
                <w:b/>
                <w:bCs/>
                <w:color w:val="FF0000"/>
              </w:rPr>
              <w:t xml:space="preserve"> </w:t>
            </w:r>
            <w:r w:rsidRPr="00A10F14">
              <w:rPr>
                <w:iCs/>
              </w:rPr>
              <w:t>UHC may pend/deny for various reasons. An example of pending the claim would be to contact the provider if missing provider data information was not available. An outreach to the provider to obtain the needed info would be made, then the processing of the claim would resume. A denial could occur if the provider is not contracted for the service</w:t>
            </w:r>
            <w:r w:rsidRPr="00A10F14">
              <w:rPr>
                <w:i/>
                <w:iCs/>
                <w:color w:val="FF0000"/>
              </w:rPr>
              <w:t>.</w:t>
            </w:r>
          </w:p>
          <w:p w14:paraId="6AFA5826" w14:textId="77777777" w:rsidR="00A10F14" w:rsidRPr="00A10F14" w:rsidRDefault="00A10F14" w:rsidP="00A10F14">
            <w:pPr>
              <w:numPr>
                <w:ilvl w:val="0"/>
                <w:numId w:val="18"/>
              </w:numPr>
              <w:contextualSpacing/>
              <w:rPr>
                <w:rFonts w:cstheme="minorHAnsi"/>
              </w:rPr>
            </w:pPr>
            <w:r w:rsidRPr="00A10F14">
              <w:rPr>
                <w:rFonts w:cstheme="minorHAnsi"/>
              </w:rPr>
              <w:t>If the claim is resubmitted with additional information, UHC will process as a clean claim based on the resubmission date.</w:t>
            </w:r>
          </w:p>
        </w:tc>
      </w:tr>
      <w:tr w:rsidR="00A10F14" w:rsidRPr="00A10F14" w14:paraId="2BABB240" w14:textId="77777777" w:rsidTr="00EF15B9">
        <w:tc>
          <w:tcPr>
            <w:tcW w:w="1705" w:type="dxa"/>
          </w:tcPr>
          <w:p w14:paraId="2CA63045" w14:textId="77777777" w:rsidR="00A10F14" w:rsidRPr="00A10F14" w:rsidRDefault="00A10F14" w:rsidP="00A10F14">
            <w:pPr>
              <w:rPr>
                <w:rFonts w:cstheme="minorHAnsi"/>
              </w:rPr>
            </w:pPr>
            <w:r w:rsidRPr="00A10F14">
              <w:rPr>
                <w:rFonts w:cstheme="minorHAnsi"/>
              </w:rPr>
              <w:t>Decline to Bill Form and EOB</w:t>
            </w:r>
          </w:p>
        </w:tc>
        <w:tc>
          <w:tcPr>
            <w:tcW w:w="3330" w:type="dxa"/>
          </w:tcPr>
          <w:p w14:paraId="7E96A087" w14:textId="77777777" w:rsidR="00A10F14" w:rsidRPr="00A10F14" w:rsidRDefault="00A10F14" w:rsidP="00A10F14">
            <w:pPr>
              <w:rPr>
                <w:rFonts w:cstheme="minorHAnsi"/>
              </w:rPr>
            </w:pPr>
            <w:r w:rsidRPr="00A10F14">
              <w:rPr>
                <w:rFonts w:cstheme="minorHAnsi"/>
              </w:rPr>
              <w:t>Families may decline to bill their private insurance for coverage of EI services and will sign the Decline to Bill Form. LLAs will have this form on file.</w:t>
            </w:r>
          </w:p>
          <w:p w14:paraId="73995699" w14:textId="77777777" w:rsidR="00A10F14" w:rsidRPr="00A10F14" w:rsidRDefault="00A10F14" w:rsidP="00A10F14">
            <w:pPr>
              <w:rPr>
                <w:rFonts w:cstheme="minorHAnsi"/>
              </w:rPr>
            </w:pPr>
          </w:p>
          <w:p w14:paraId="5C9C19A6" w14:textId="77777777" w:rsidR="00A10F14" w:rsidRPr="00A10F14" w:rsidRDefault="00A10F14" w:rsidP="00A10F14">
            <w:pPr>
              <w:rPr>
                <w:rFonts w:cstheme="minorHAnsi"/>
              </w:rPr>
            </w:pPr>
            <w:r w:rsidRPr="00A10F14">
              <w:rPr>
                <w:rFonts w:cstheme="minorHAnsi"/>
              </w:rPr>
              <w:t>If family does not decline to bill, the private insurance will send EOB</w:t>
            </w:r>
          </w:p>
        </w:tc>
        <w:tc>
          <w:tcPr>
            <w:tcW w:w="3330" w:type="dxa"/>
          </w:tcPr>
          <w:p w14:paraId="6B90EF10" w14:textId="77777777" w:rsidR="00A10F14" w:rsidRPr="00A10F14" w:rsidRDefault="00A10F14" w:rsidP="00A10F14">
            <w:pPr>
              <w:numPr>
                <w:ilvl w:val="0"/>
                <w:numId w:val="5"/>
              </w:numPr>
              <w:ind w:left="216" w:hanging="216"/>
              <w:contextualSpacing/>
              <w:rPr>
                <w:rFonts w:cstheme="minorHAnsi"/>
              </w:rPr>
            </w:pPr>
            <w:r w:rsidRPr="00A10F14">
              <w:rPr>
                <w:rFonts w:cstheme="minorHAnsi"/>
              </w:rPr>
              <w:t>Submission process for Decline to Bill Form</w:t>
            </w:r>
          </w:p>
          <w:p w14:paraId="32301906" w14:textId="77777777" w:rsidR="00A10F14" w:rsidRPr="00A10F14" w:rsidRDefault="00A10F14" w:rsidP="00A10F14">
            <w:pPr>
              <w:numPr>
                <w:ilvl w:val="0"/>
                <w:numId w:val="5"/>
              </w:numPr>
              <w:ind w:left="216" w:hanging="216"/>
              <w:contextualSpacing/>
              <w:rPr>
                <w:rFonts w:cstheme="minorHAnsi"/>
              </w:rPr>
            </w:pPr>
            <w:r w:rsidRPr="00A10F14">
              <w:rPr>
                <w:rFonts w:cstheme="minorHAnsi"/>
              </w:rPr>
              <w:t>Process for ensuring Claims Department is aware of Decline to Bill form</w:t>
            </w:r>
          </w:p>
          <w:p w14:paraId="7A3CB758" w14:textId="77777777" w:rsidR="00A10F14" w:rsidRPr="00A10F14" w:rsidRDefault="00A10F14" w:rsidP="00A10F14">
            <w:pPr>
              <w:numPr>
                <w:ilvl w:val="0"/>
                <w:numId w:val="5"/>
              </w:numPr>
              <w:ind w:left="216" w:hanging="216"/>
              <w:contextualSpacing/>
              <w:rPr>
                <w:rFonts w:cstheme="minorHAnsi"/>
              </w:rPr>
            </w:pPr>
            <w:r w:rsidRPr="00A10F14">
              <w:rPr>
                <w:rFonts w:cstheme="minorHAnsi"/>
              </w:rPr>
              <w:t>Process for handling claims when Decline to Bill is or the EOB are not on file</w:t>
            </w:r>
          </w:p>
        </w:tc>
        <w:tc>
          <w:tcPr>
            <w:tcW w:w="10530" w:type="dxa"/>
          </w:tcPr>
          <w:p w14:paraId="0652A5B5" w14:textId="77777777" w:rsidR="00A10F14" w:rsidRPr="00A10F14" w:rsidRDefault="00A10F14" w:rsidP="00A10F14">
            <w:pPr>
              <w:rPr>
                <w:rFonts w:cstheme="minorHAnsi"/>
              </w:rPr>
            </w:pPr>
            <w:r w:rsidRPr="00A10F14">
              <w:rPr>
                <w:rFonts w:cstheme="minorHAnsi"/>
              </w:rPr>
              <w:t>UHC does not require the Decline to Bill Form to be submitted. We process all EI claims and will conduct back end audits for appropriate COB actions that apply. If providers choose to submit the form, it will need to be submitted attached to a claim.</w:t>
            </w:r>
          </w:p>
        </w:tc>
      </w:tr>
      <w:tr w:rsidR="00A10F14" w:rsidRPr="00A10F14" w14:paraId="29043512" w14:textId="77777777" w:rsidTr="00EF15B9">
        <w:tc>
          <w:tcPr>
            <w:tcW w:w="1705" w:type="dxa"/>
          </w:tcPr>
          <w:p w14:paraId="74E1FC24" w14:textId="77777777" w:rsidR="00A10F14" w:rsidRPr="00A10F14" w:rsidRDefault="00A10F14" w:rsidP="00A10F14">
            <w:pPr>
              <w:rPr>
                <w:rFonts w:cstheme="minorHAnsi"/>
              </w:rPr>
            </w:pPr>
            <w:r w:rsidRPr="00A10F14">
              <w:rPr>
                <w:rFonts w:cstheme="minorHAnsi"/>
              </w:rPr>
              <w:t>EI Enrollment and Indicator</w:t>
            </w:r>
          </w:p>
        </w:tc>
        <w:tc>
          <w:tcPr>
            <w:tcW w:w="3330" w:type="dxa"/>
          </w:tcPr>
          <w:p w14:paraId="1C92E871" w14:textId="77777777" w:rsidR="00A10F14" w:rsidRPr="00A10F14" w:rsidRDefault="00A10F14" w:rsidP="00A10F14">
            <w:pPr>
              <w:rPr>
                <w:rFonts w:cstheme="minorHAnsi"/>
              </w:rPr>
            </w:pPr>
            <w:r w:rsidRPr="00A10F14">
              <w:rPr>
                <w:rFonts w:cstheme="minorHAnsi"/>
              </w:rPr>
              <w:t xml:space="preserve">A child must have an EI indicator on the enrollment file in order for an EI service to be reimbursed. </w:t>
            </w:r>
          </w:p>
          <w:p w14:paraId="4AEBF82A" w14:textId="77777777" w:rsidR="00A10F14" w:rsidRPr="00A10F14" w:rsidRDefault="00A10F14" w:rsidP="00A10F14">
            <w:pPr>
              <w:rPr>
                <w:rFonts w:cstheme="minorHAnsi"/>
              </w:rPr>
            </w:pPr>
          </w:p>
          <w:p w14:paraId="599C372D" w14:textId="77777777" w:rsidR="00A10F14" w:rsidRPr="00A10F14" w:rsidRDefault="00A10F14" w:rsidP="00A10F14">
            <w:pPr>
              <w:rPr>
                <w:rFonts w:cstheme="minorHAnsi"/>
              </w:rPr>
            </w:pPr>
            <w:r w:rsidRPr="00A10F14">
              <w:rPr>
                <w:rFonts w:cstheme="minorHAnsi"/>
              </w:rPr>
              <w:t xml:space="preserve">Due to timing of the enrollment file, if the provider bills prior to the MCO receiving the file listing </w:t>
            </w:r>
            <w:r w:rsidRPr="00A10F14">
              <w:rPr>
                <w:rFonts w:cstheme="minorHAnsi"/>
              </w:rPr>
              <w:lastRenderedPageBreak/>
              <w:t>the child as having the EI indicator, the claim will deny due to “child not enrolled in the EI”. This impacts submission of a clean claim.</w:t>
            </w:r>
          </w:p>
        </w:tc>
        <w:tc>
          <w:tcPr>
            <w:tcW w:w="3330" w:type="dxa"/>
          </w:tcPr>
          <w:p w14:paraId="58FDA3F8" w14:textId="77777777" w:rsidR="00A10F14" w:rsidRPr="00A10F14" w:rsidRDefault="00A10F14" w:rsidP="00A10F14">
            <w:pPr>
              <w:numPr>
                <w:ilvl w:val="0"/>
                <w:numId w:val="6"/>
              </w:numPr>
              <w:ind w:left="216" w:hanging="216"/>
              <w:contextualSpacing/>
              <w:rPr>
                <w:rFonts w:cstheme="minorHAnsi"/>
              </w:rPr>
            </w:pPr>
            <w:r w:rsidRPr="00A10F14">
              <w:rPr>
                <w:rFonts w:cstheme="minorHAnsi"/>
              </w:rPr>
              <w:lastRenderedPageBreak/>
              <w:t>Process to handle claims when the EI indicator is not on plan enrollment file</w:t>
            </w:r>
          </w:p>
        </w:tc>
        <w:tc>
          <w:tcPr>
            <w:tcW w:w="10530" w:type="dxa"/>
          </w:tcPr>
          <w:p w14:paraId="15884D25" w14:textId="77777777" w:rsidR="00A10F14" w:rsidRPr="00A10F14" w:rsidRDefault="00A10F14" w:rsidP="00A10F14">
            <w:pPr>
              <w:rPr>
                <w:rFonts w:cstheme="minorHAnsi"/>
              </w:rPr>
            </w:pPr>
            <w:r w:rsidRPr="00A10F14">
              <w:rPr>
                <w:rFonts w:cstheme="minorHAnsi"/>
              </w:rPr>
              <w:t>UHC claims processing platform has the ability to evaluate the age of the member in conjunction with the EI code to make a determination if EI reimbursement is allowed. Additionally, we conduct post payment reviews to ensure appropriate payments of claims for aid category and IFSP approved services.</w:t>
            </w:r>
          </w:p>
        </w:tc>
      </w:tr>
      <w:tr w:rsidR="00A10F14" w:rsidRPr="00A10F14" w14:paraId="10C91AE7" w14:textId="77777777" w:rsidTr="00EF15B9">
        <w:tc>
          <w:tcPr>
            <w:tcW w:w="1705" w:type="dxa"/>
          </w:tcPr>
          <w:p w14:paraId="2174C8F6" w14:textId="77777777" w:rsidR="00A10F14" w:rsidRPr="00A10F14" w:rsidRDefault="00A10F14" w:rsidP="00A10F14">
            <w:pPr>
              <w:rPr>
                <w:rFonts w:cstheme="minorHAnsi"/>
              </w:rPr>
            </w:pPr>
            <w:r w:rsidRPr="00A10F14">
              <w:rPr>
                <w:rFonts w:cstheme="minorHAnsi"/>
              </w:rPr>
              <w:t>Care Coordination</w:t>
            </w:r>
          </w:p>
        </w:tc>
        <w:tc>
          <w:tcPr>
            <w:tcW w:w="3330" w:type="dxa"/>
          </w:tcPr>
          <w:p w14:paraId="184E3B8B" w14:textId="77777777" w:rsidR="00A10F14" w:rsidRPr="00A10F14" w:rsidRDefault="00A10F14" w:rsidP="00A10F14">
            <w:pPr>
              <w:rPr>
                <w:rFonts w:cstheme="minorHAnsi"/>
              </w:rPr>
            </w:pPr>
            <w:r w:rsidRPr="00A10F14">
              <w:rPr>
                <w:rFonts w:cstheme="minorHAnsi"/>
              </w:rPr>
              <w:t>Plan care coordinators should collaborate with the EI Service Coordinator</w:t>
            </w:r>
          </w:p>
        </w:tc>
        <w:tc>
          <w:tcPr>
            <w:tcW w:w="3330" w:type="dxa"/>
          </w:tcPr>
          <w:p w14:paraId="0C4F037D" w14:textId="77777777" w:rsidR="00A10F14" w:rsidRPr="00A10F14" w:rsidRDefault="00A10F14" w:rsidP="00A10F14">
            <w:pPr>
              <w:numPr>
                <w:ilvl w:val="0"/>
                <w:numId w:val="6"/>
              </w:numPr>
              <w:ind w:left="216" w:hanging="216"/>
              <w:contextualSpacing/>
              <w:rPr>
                <w:rFonts w:cstheme="minorHAnsi"/>
              </w:rPr>
            </w:pPr>
            <w:r w:rsidRPr="00A10F14">
              <w:rPr>
                <w:rFonts w:cstheme="minorHAnsi"/>
              </w:rPr>
              <w:t>Role of the care coordinator</w:t>
            </w:r>
          </w:p>
          <w:p w14:paraId="4E458A88" w14:textId="77777777" w:rsidR="00A10F14" w:rsidRPr="00A10F14" w:rsidRDefault="00A10F14" w:rsidP="00A10F14">
            <w:pPr>
              <w:numPr>
                <w:ilvl w:val="0"/>
                <w:numId w:val="6"/>
              </w:numPr>
              <w:ind w:left="216" w:hanging="216"/>
              <w:contextualSpacing/>
              <w:rPr>
                <w:rFonts w:cstheme="minorHAnsi"/>
              </w:rPr>
            </w:pPr>
            <w:r w:rsidRPr="00A10F14">
              <w:rPr>
                <w:rFonts w:cstheme="minorHAnsi"/>
              </w:rPr>
              <w:t>Process for exchanging information between care coordinator and service coordinator</w:t>
            </w:r>
          </w:p>
          <w:p w14:paraId="5CE05F1E" w14:textId="77777777" w:rsidR="00A10F14" w:rsidRPr="00A10F14" w:rsidRDefault="00A10F14" w:rsidP="00A10F14">
            <w:pPr>
              <w:numPr>
                <w:ilvl w:val="0"/>
                <w:numId w:val="6"/>
              </w:numPr>
              <w:ind w:left="216" w:hanging="216"/>
              <w:contextualSpacing/>
              <w:rPr>
                <w:rFonts w:cstheme="minorHAnsi"/>
              </w:rPr>
            </w:pPr>
            <w:r w:rsidRPr="00A10F14">
              <w:rPr>
                <w:rFonts w:cstheme="minorHAnsi"/>
              </w:rPr>
              <w:t>Frequency of contact between coordinators, i.e., timeframe for initial contact and ongoing contact</w:t>
            </w:r>
          </w:p>
        </w:tc>
        <w:tc>
          <w:tcPr>
            <w:tcW w:w="10530" w:type="dxa"/>
          </w:tcPr>
          <w:p w14:paraId="26ADE854" w14:textId="77777777" w:rsidR="00A10F14" w:rsidRPr="00A10F14" w:rsidRDefault="00A10F14" w:rsidP="00A10F14">
            <w:r w:rsidRPr="00A10F14">
              <w:t xml:space="preserve">Our expectation is for Care Coordinators to contact the EI provider within 10 business days.  After making initial contact with the EI provider, we verify receipt of the IFSP and discuss any immediate needs for the member that the Care Coordinator can help with. We will ask the EI provider for any previous quarterly EI meeting dates as well as the date of the next meeting scheduled for member to coordinate with members Intensive Care Team (ICT) in order to join in participation.  </w:t>
            </w:r>
          </w:p>
          <w:p w14:paraId="78B69D9A" w14:textId="77777777" w:rsidR="00A10F14" w:rsidRPr="00A10F14" w:rsidRDefault="00A10F14" w:rsidP="00A10F14">
            <w:pPr>
              <w:rPr>
                <w:rFonts w:cstheme="minorHAnsi"/>
              </w:rPr>
            </w:pPr>
          </w:p>
        </w:tc>
      </w:tr>
      <w:tr w:rsidR="00A10F14" w:rsidRPr="00A10F14" w14:paraId="15F1DC86" w14:textId="77777777" w:rsidTr="00EF15B9">
        <w:tc>
          <w:tcPr>
            <w:tcW w:w="1705" w:type="dxa"/>
          </w:tcPr>
          <w:p w14:paraId="0E19D06F" w14:textId="77777777" w:rsidR="00A10F14" w:rsidRPr="00A10F14" w:rsidRDefault="00A10F14" w:rsidP="00A10F14">
            <w:pPr>
              <w:rPr>
                <w:rFonts w:cstheme="minorHAnsi"/>
              </w:rPr>
            </w:pPr>
            <w:r w:rsidRPr="00A10F14">
              <w:rPr>
                <w:rFonts w:cstheme="minorHAnsi"/>
              </w:rPr>
              <w:t>Interpreter and Translation Services</w:t>
            </w:r>
          </w:p>
        </w:tc>
        <w:tc>
          <w:tcPr>
            <w:tcW w:w="3330" w:type="dxa"/>
          </w:tcPr>
          <w:p w14:paraId="0F5DF4DD" w14:textId="77777777" w:rsidR="00A10F14" w:rsidRPr="00A10F14" w:rsidRDefault="00A10F14" w:rsidP="00A10F14">
            <w:pPr>
              <w:rPr>
                <w:rFonts w:cstheme="minorHAnsi"/>
              </w:rPr>
            </w:pPr>
            <w:r w:rsidRPr="00A10F14">
              <w:rPr>
                <w:rFonts w:cstheme="minorHAnsi"/>
              </w:rPr>
              <w:t>Language assistance services, including but not limited to interpreter and translation services, are available free of charge.</w:t>
            </w:r>
          </w:p>
        </w:tc>
        <w:tc>
          <w:tcPr>
            <w:tcW w:w="3330" w:type="dxa"/>
          </w:tcPr>
          <w:p w14:paraId="22878127" w14:textId="77777777" w:rsidR="00A10F14" w:rsidRPr="00A10F14" w:rsidRDefault="00A10F14" w:rsidP="00A10F14">
            <w:pPr>
              <w:numPr>
                <w:ilvl w:val="0"/>
                <w:numId w:val="7"/>
              </w:numPr>
              <w:ind w:left="216" w:hanging="216"/>
              <w:contextualSpacing/>
              <w:rPr>
                <w:rFonts w:cstheme="minorHAnsi"/>
              </w:rPr>
            </w:pPr>
            <w:r w:rsidRPr="00A10F14">
              <w:rPr>
                <w:rFonts w:cstheme="minorHAnsi"/>
              </w:rPr>
              <w:t>Process for providers, service coordinators, and/or families to access interpreter/translation services</w:t>
            </w:r>
          </w:p>
          <w:p w14:paraId="437277DB" w14:textId="77777777" w:rsidR="00A10F14" w:rsidRPr="00A10F14" w:rsidRDefault="00A10F14" w:rsidP="00A10F14">
            <w:pPr>
              <w:numPr>
                <w:ilvl w:val="0"/>
                <w:numId w:val="7"/>
              </w:numPr>
              <w:ind w:left="216" w:hanging="216"/>
              <w:contextualSpacing/>
              <w:rPr>
                <w:rFonts w:cstheme="minorHAnsi"/>
              </w:rPr>
            </w:pPr>
            <w:r w:rsidRPr="00A10F14">
              <w:rPr>
                <w:rFonts w:cstheme="minorHAnsi"/>
              </w:rPr>
              <w:t>Timeframe for accessing interpreter/translation services</w:t>
            </w:r>
          </w:p>
        </w:tc>
        <w:tc>
          <w:tcPr>
            <w:tcW w:w="10530" w:type="dxa"/>
          </w:tcPr>
          <w:p w14:paraId="196CD95D" w14:textId="77777777" w:rsidR="00A10F14" w:rsidRPr="00A10F14" w:rsidRDefault="00A10F14" w:rsidP="00A10F14">
            <w:pPr>
              <w:rPr>
                <w:rFonts w:cstheme="minorHAnsi"/>
              </w:rPr>
            </w:pPr>
            <w:r w:rsidRPr="00A10F14">
              <w:rPr>
                <w:rFonts w:cstheme="minorHAnsi"/>
              </w:rPr>
              <w:t>Language interpreter services can be initiated by contacting our provider service centers who will then facilitate appoint setting with our vendor, Language Line.</w:t>
            </w:r>
          </w:p>
          <w:p w14:paraId="7FDB7F3A" w14:textId="77777777" w:rsidR="00A10F14" w:rsidRPr="00A10F14" w:rsidRDefault="00A10F14" w:rsidP="00A10F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A10F14">
              <w:rPr>
                <w:rFonts w:cstheme="minorHAnsi"/>
              </w:rPr>
              <w:t>Medallion Provider Services</w:t>
            </w:r>
          </w:p>
          <w:p w14:paraId="22ACC7FD" w14:textId="77777777" w:rsidR="00A10F14" w:rsidRPr="00A10F14" w:rsidRDefault="00A10F14" w:rsidP="00A10F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A10F14">
              <w:rPr>
                <w:rFonts w:cstheme="minorHAnsi"/>
              </w:rPr>
              <w:t xml:space="preserve">844-284-0146 </w:t>
            </w:r>
          </w:p>
          <w:p w14:paraId="5980E862" w14:textId="77777777" w:rsidR="00A10F14" w:rsidRPr="00A10F14" w:rsidRDefault="00A10F14" w:rsidP="00A10F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A10F14">
              <w:rPr>
                <w:rFonts w:cstheme="minorHAnsi"/>
              </w:rPr>
              <w:t>CCC Plus Provider Services</w:t>
            </w:r>
          </w:p>
          <w:p w14:paraId="415FEFA3" w14:textId="77777777" w:rsidR="00A10F14" w:rsidRPr="00A10F14" w:rsidRDefault="00A10F14" w:rsidP="00A10F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A10F14">
              <w:rPr>
                <w:rFonts w:cstheme="minorHAnsi"/>
              </w:rPr>
              <w:t>877-843-4366</w:t>
            </w:r>
          </w:p>
          <w:p w14:paraId="1879199B" w14:textId="77777777" w:rsidR="00A10F14" w:rsidRPr="00A10F14" w:rsidRDefault="00A10F14" w:rsidP="00A10F14">
            <w:pPr>
              <w:rPr>
                <w:rFonts w:cstheme="minorHAnsi"/>
              </w:rPr>
            </w:pPr>
          </w:p>
          <w:p w14:paraId="78D81D88" w14:textId="77777777" w:rsidR="00A10F14" w:rsidRPr="00A10F14" w:rsidRDefault="00A10F14" w:rsidP="00A10F14">
            <w:pPr>
              <w:rPr>
                <w:rFonts w:cstheme="minorHAnsi"/>
              </w:rPr>
            </w:pPr>
            <w:r w:rsidRPr="00A10F14">
              <w:rPr>
                <w:rFonts w:cstheme="minorHAnsi"/>
              </w:rPr>
              <w:t xml:space="preserve">Language Line recommends requesting interpreter service 3-5 days in advance if possible. The Services Coordinator can work directly with the CC to set up services. </w:t>
            </w:r>
          </w:p>
        </w:tc>
      </w:tr>
      <w:tr w:rsidR="00A10F14" w:rsidRPr="00A10F14" w14:paraId="7E4CCB31" w14:textId="77777777" w:rsidTr="00EF15B9">
        <w:tc>
          <w:tcPr>
            <w:tcW w:w="1705" w:type="dxa"/>
          </w:tcPr>
          <w:p w14:paraId="7AA5CCBB" w14:textId="77777777" w:rsidR="00A10F14" w:rsidRPr="00A10F14" w:rsidRDefault="00A10F14" w:rsidP="00A10F14">
            <w:pPr>
              <w:rPr>
                <w:rFonts w:cstheme="minorHAnsi"/>
              </w:rPr>
            </w:pPr>
            <w:r w:rsidRPr="00A10F14">
              <w:rPr>
                <w:rFonts w:cstheme="minorHAnsi"/>
              </w:rPr>
              <w:t>EI Specific Email Box</w:t>
            </w:r>
          </w:p>
        </w:tc>
        <w:tc>
          <w:tcPr>
            <w:tcW w:w="3330" w:type="dxa"/>
          </w:tcPr>
          <w:p w14:paraId="45AC09C9" w14:textId="77777777" w:rsidR="00A10F14" w:rsidRPr="00A10F14" w:rsidRDefault="00A10F14" w:rsidP="00A10F14">
            <w:pPr>
              <w:rPr>
                <w:rFonts w:cstheme="minorHAnsi"/>
              </w:rPr>
            </w:pPr>
            <w:r w:rsidRPr="00A10F14">
              <w:rPr>
                <w:rFonts w:cstheme="minorHAnsi"/>
              </w:rPr>
              <w:t>Specific email contacts for submission of IFSPs, Decline to Bill Forms, etc.</w:t>
            </w:r>
          </w:p>
        </w:tc>
        <w:tc>
          <w:tcPr>
            <w:tcW w:w="3330" w:type="dxa"/>
          </w:tcPr>
          <w:p w14:paraId="74003491" w14:textId="77777777" w:rsidR="00A10F14" w:rsidRPr="00A10F14" w:rsidRDefault="00A10F14" w:rsidP="00A10F14">
            <w:pPr>
              <w:numPr>
                <w:ilvl w:val="0"/>
                <w:numId w:val="8"/>
              </w:numPr>
              <w:ind w:left="216" w:hanging="216"/>
              <w:contextualSpacing/>
              <w:rPr>
                <w:rFonts w:cstheme="minorHAnsi"/>
              </w:rPr>
            </w:pPr>
            <w:r w:rsidRPr="00A10F14">
              <w:rPr>
                <w:rFonts w:cstheme="minorHAnsi"/>
              </w:rPr>
              <w:t>List specific email address</w:t>
            </w:r>
          </w:p>
        </w:tc>
        <w:tc>
          <w:tcPr>
            <w:tcW w:w="10530" w:type="dxa"/>
          </w:tcPr>
          <w:p w14:paraId="46ED82A1" w14:textId="77777777" w:rsidR="00A10F14" w:rsidRPr="00A10F14" w:rsidRDefault="00A10F14" w:rsidP="00A10F14">
            <w:pPr>
              <w:rPr>
                <w:rFonts w:cstheme="minorHAnsi"/>
              </w:rPr>
            </w:pPr>
            <w:r w:rsidRPr="00A10F14">
              <w:rPr>
                <w:rFonts w:cstheme="minorHAnsi"/>
              </w:rPr>
              <w:t>UHC receives IFSPs via secure fax (these convert to PDFs to a secured fax</w:t>
            </w:r>
            <w:r w:rsidRPr="00A10F14">
              <w:rPr>
                <w:rFonts w:cstheme="minorHAnsi"/>
                <w:b/>
                <w:bCs/>
                <w:u w:val="single"/>
              </w:rPr>
              <w:t xml:space="preserve"> email</w:t>
            </w:r>
            <w:r w:rsidRPr="00A10F14">
              <w:rPr>
                <w:rFonts w:cstheme="minorHAnsi"/>
              </w:rPr>
              <w:t>) at the following numbers which are viewed by a member of the clinical care team:</w:t>
            </w:r>
          </w:p>
          <w:p w14:paraId="20B94051" w14:textId="77777777" w:rsidR="00A10F14" w:rsidRPr="00A10F14" w:rsidRDefault="00A10F14" w:rsidP="00A10F14">
            <w:pPr>
              <w:numPr>
                <w:ilvl w:val="0"/>
                <w:numId w:val="21"/>
              </w:numPr>
              <w:contextualSpacing/>
              <w:rPr>
                <w:rFonts w:cstheme="minorHAnsi"/>
              </w:rPr>
            </w:pPr>
            <w:r w:rsidRPr="00A10F14">
              <w:rPr>
                <w:rFonts w:cstheme="minorHAnsi"/>
              </w:rPr>
              <w:t>CCC Plus 855-770-7088</w:t>
            </w:r>
          </w:p>
          <w:p w14:paraId="7DE5377E" w14:textId="77777777" w:rsidR="00A10F14" w:rsidRPr="00A10F14" w:rsidRDefault="00A10F14" w:rsidP="00A10F14">
            <w:pPr>
              <w:numPr>
                <w:ilvl w:val="0"/>
                <w:numId w:val="21"/>
              </w:numPr>
              <w:contextualSpacing/>
              <w:rPr>
                <w:rFonts w:cstheme="minorHAnsi"/>
              </w:rPr>
            </w:pPr>
            <w:r w:rsidRPr="00A10F14">
              <w:rPr>
                <w:rFonts w:cstheme="minorHAnsi"/>
              </w:rPr>
              <w:t>Medallion 4.0 844-207-2913</w:t>
            </w:r>
          </w:p>
          <w:p w14:paraId="5D8ED555" w14:textId="77777777" w:rsidR="00A10F14" w:rsidRPr="00A10F14" w:rsidRDefault="00A10F14" w:rsidP="00A10F14">
            <w:pPr>
              <w:ind w:left="1440"/>
              <w:contextualSpacing/>
              <w:rPr>
                <w:rFonts w:cstheme="minorHAnsi"/>
              </w:rPr>
            </w:pPr>
          </w:p>
          <w:p w14:paraId="4B9B01C2" w14:textId="77777777" w:rsidR="00A10F14" w:rsidRPr="00A10F14" w:rsidRDefault="00A10F14" w:rsidP="00A10F14">
            <w:pPr>
              <w:rPr>
                <w:rFonts w:cstheme="minorHAnsi"/>
              </w:rPr>
            </w:pPr>
            <w:r w:rsidRPr="00A10F14">
              <w:rPr>
                <w:rFonts w:cstheme="minorHAnsi"/>
              </w:rPr>
              <w:t>If a specific email is required for additional clinical concerns</w:t>
            </w:r>
          </w:p>
          <w:p w14:paraId="149F4E30" w14:textId="648BAF17" w:rsidR="00A10F14" w:rsidRPr="00A10F14" w:rsidRDefault="00A10F14" w:rsidP="00A10F14">
            <w:pPr>
              <w:numPr>
                <w:ilvl w:val="0"/>
                <w:numId w:val="19"/>
              </w:numPr>
              <w:contextualSpacing/>
              <w:rPr>
                <w:rFonts w:cstheme="minorHAnsi"/>
              </w:rPr>
            </w:pPr>
            <w:r w:rsidRPr="00A10F14">
              <w:rPr>
                <w:rFonts w:cstheme="minorHAnsi"/>
              </w:rPr>
              <w:t xml:space="preserve">Medallion 4 </w:t>
            </w:r>
            <w:r w:rsidR="00B838D4">
              <w:rPr>
                <w:rFonts w:cstheme="minorHAnsi"/>
              </w:rPr>
              <w:t>–</w:t>
            </w:r>
            <w:r w:rsidRPr="00A10F14">
              <w:rPr>
                <w:rFonts w:cstheme="minorHAnsi"/>
              </w:rPr>
              <w:t xml:space="preserve"> S</w:t>
            </w:r>
            <w:r w:rsidR="00B838D4">
              <w:rPr>
                <w:rFonts w:cstheme="minorHAnsi"/>
              </w:rPr>
              <w:t>hane Ashby – shane_ashby@uhc.com</w:t>
            </w:r>
          </w:p>
          <w:p w14:paraId="3E8751B1" w14:textId="7E5BDAB9" w:rsidR="00A10F14" w:rsidRPr="00A10F14" w:rsidRDefault="00A10F14" w:rsidP="00A10F14">
            <w:pPr>
              <w:numPr>
                <w:ilvl w:val="0"/>
                <w:numId w:val="19"/>
              </w:numPr>
              <w:contextualSpacing/>
              <w:rPr>
                <w:rFonts w:cstheme="minorHAnsi"/>
              </w:rPr>
            </w:pPr>
            <w:r w:rsidRPr="00A10F14">
              <w:rPr>
                <w:rFonts w:cstheme="minorHAnsi"/>
              </w:rPr>
              <w:t xml:space="preserve">CCC Plus </w:t>
            </w:r>
            <w:r w:rsidR="00B838D4">
              <w:t>Saffie Quarshie – saffie_quarshie@uhc.com</w:t>
            </w:r>
          </w:p>
          <w:p w14:paraId="6855CD5D" w14:textId="77777777" w:rsidR="00A10F14" w:rsidRPr="00A10F14" w:rsidRDefault="00A10F14" w:rsidP="00A10F14">
            <w:pPr>
              <w:rPr>
                <w:rFonts w:cstheme="minorHAnsi"/>
              </w:rPr>
            </w:pPr>
          </w:p>
          <w:p w14:paraId="7DB58E72" w14:textId="77777777" w:rsidR="00B838D4" w:rsidRDefault="00B838D4" w:rsidP="00B838D4">
            <w:pPr>
              <w:spacing w:after="160" w:line="259" w:lineRule="auto"/>
              <w:rPr>
                <w:rFonts w:cstheme="minorHAnsi"/>
              </w:rPr>
            </w:pPr>
            <w:r w:rsidRPr="00B838D4">
              <w:rPr>
                <w:rFonts w:cstheme="minorHAnsi"/>
              </w:rPr>
              <w:lastRenderedPageBreak/>
              <w:t>All billing concerns should be first be addressed with Provider Services (numbers above).</w:t>
            </w:r>
          </w:p>
          <w:p w14:paraId="652663F2" w14:textId="662D94E2" w:rsidR="00B838D4" w:rsidRPr="00B838D4" w:rsidRDefault="00B838D4" w:rsidP="00B838D4">
            <w:pPr>
              <w:spacing w:after="160" w:line="259" w:lineRule="auto"/>
              <w:rPr>
                <w:rFonts w:cstheme="minorHAnsi"/>
              </w:rPr>
            </w:pPr>
            <w:r w:rsidRPr="00B838D4">
              <w:rPr>
                <w:rFonts w:cstheme="minorHAnsi"/>
              </w:rPr>
              <w:t>For escalated issues after contacting provider services, submit email to:</w:t>
            </w:r>
          </w:p>
          <w:p w14:paraId="0CD521F2" w14:textId="77777777" w:rsidR="00B838D4" w:rsidRPr="00B838D4" w:rsidRDefault="00B838D4" w:rsidP="00B838D4">
            <w:pPr>
              <w:numPr>
                <w:ilvl w:val="0"/>
                <w:numId w:val="20"/>
              </w:numPr>
              <w:spacing w:after="160" w:line="259" w:lineRule="auto"/>
              <w:contextualSpacing/>
              <w:rPr>
                <w:rFonts w:cstheme="minorHAnsi"/>
              </w:rPr>
            </w:pPr>
            <w:r w:rsidRPr="00B838D4">
              <w:rPr>
                <w:rFonts w:cstheme="minorHAnsi"/>
              </w:rPr>
              <w:t xml:space="preserve">UHC Community Plan of VA EI &amp; HCBS Provider mailbox: </w:t>
            </w:r>
            <w:hyperlink r:id="rId38" w:history="1">
              <w:r w:rsidRPr="00B838D4">
                <w:rPr>
                  <w:rFonts w:cstheme="minorHAnsi"/>
                  <w:color w:val="0000FF"/>
                  <w:u w:val="single"/>
                </w:rPr>
                <w:t>va_hcbs_pr@uhc.com</w:t>
              </w:r>
            </w:hyperlink>
          </w:p>
          <w:p w14:paraId="36AF4DEA" w14:textId="77777777" w:rsidR="00A10F14" w:rsidRPr="00A10F14" w:rsidRDefault="00A10F14" w:rsidP="00A10F14">
            <w:pPr>
              <w:rPr>
                <w:rFonts w:cstheme="minorHAnsi"/>
              </w:rPr>
            </w:pPr>
          </w:p>
        </w:tc>
      </w:tr>
    </w:tbl>
    <w:p w14:paraId="68906CAF" w14:textId="73B2C5FD" w:rsidR="00FD7593" w:rsidRDefault="00FD7593" w:rsidP="00A10F14">
      <w:pPr>
        <w:rPr>
          <w:rFonts w:cstheme="minorHAnsi"/>
        </w:rPr>
      </w:pPr>
    </w:p>
    <w:p w14:paraId="2C627292" w14:textId="002A5837" w:rsidR="00FD7593" w:rsidRDefault="00FD7593" w:rsidP="00A10F14">
      <w:pPr>
        <w:rPr>
          <w:rFonts w:cstheme="minorHAnsi"/>
        </w:rPr>
      </w:pPr>
    </w:p>
    <w:p w14:paraId="7386D73F" w14:textId="44FF6BA3" w:rsidR="00FD7593" w:rsidRDefault="00FD7593" w:rsidP="00A10F14">
      <w:pPr>
        <w:rPr>
          <w:rFonts w:cstheme="minorHAnsi"/>
        </w:rPr>
      </w:pPr>
    </w:p>
    <w:p w14:paraId="15D11ABE" w14:textId="6AA7E37F" w:rsidR="00FD7593" w:rsidRDefault="00FD7593" w:rsidP="00A10F14">
      <w:pPr>
        <w:rPr>
          <w:rFonts w:cstheme="minorHAnsi"/>
        </w:rPr>
      </w:pPr>
    </w:p>
    <w:p w14:paraId="45CF8230" w14:textId="323FA266" w:rsidR="00FD7593" w:rsidRDefault="00FD7593" w:rsidP="00A10F14">
      <w:pPr>
        <w:rPr>
          <w:rFonts w:cstheme="minorHAnsi"/>
        </w:rPr>
      </w:pPr>
    </w:p>
    <w:p w14:paraId="4E45E61D" w14:textId="3AC5C21F" w:rsidR="00FD7593" w:rsidRDefault="00FD7593" w:rsidP="00A10F14">
      <w:pPr>
        <w:rPr>
          <w:rFonts w:cstheme="minorHAnsi"/>
        </w:rPr>
      </w:pPr>
    </w:p>
    <w:p w14:paraId="4FB4EADD" w14:textId="520D3D89" w:rsidR="00FD7593" w:rsidRDefault="00FD7593" w:rsidP="00A10F14">
      <w:pPr>
        <w:rPr>
          <w:rFonts w:cstheme="minorHAnsi"/>
        </w:rPr>
      </w:pPr>
    </w:p>
    <w:p w14:paraId="60FE9D7D" w14:textId="34E6ECA5" w:rsidR="00FD7593" w:rsidRDefault="00FD7593" w:rsidP="00A10F14">
      <w:pPr>
        <w:rPr>
          <w:rFonts w:cstheme="minorHAnsi"/>
        </w:rPr>
      </w:pPr>
    </w:p>
    <w:p w14:paraId="1A115601" w14:textId="30407F7C" w:rsidR="00FD7593" w:rsidRDefault="00FD7593" w:rsidP="00A10F14">
      <w:pPr>
        <w:rPr>
          <w:rFonts w:cstheme="minorHAnsi"/>
        </w:rPr>
      </w:pPr>
    </w:p>
    <w:p w14:paraId="35678D77" w14:textId="04A7F7E9" w:rsidR="00FD7593" w:rsidRDefault="00FD7593" w:rsidP="00A10F14">
      <w:pPr>
        <w:rPr>
          <w:rFonts w:cstheme="minorHAnsi"/>
        </w:rPr>
      </w:pPr>
    </w:p>
    <w:p w14:paraId="3ADE5453" w14:textId="7C8AE50D" w:rsidR="00FD7593" w:rsidRDefault="00FD7593" w:rsidP="00A10F14">
      <w:pPr>
        <w:rPr>
          <w:rFonts w:cstheme="minorHAnsi"/>
        </w:rPr>
      </w:pPr>
    </w:p>
    <w:p w14:paraId="77822D83" w14:textId="5E0E0FFA" w:rsidR="00FD7593" w:rsidRDefault="00FD7593" w:rsidP="00A10F14">
      <w:pPr>
        <w:rPr>
          <w:rFonts w:cstheme="minorHAnsi"/>
        </w:rPr>
      </w:pPr>
    </w:p>
    <w:p w14:paraId="5C87D0EC" w14:textId="3962E9E9" w:rsidR="00FD7593" w:rsidRDefault="00FD7593" w:rsidP="00A10F14">
      <w:pPr>
        <w:rPr>
          <w:rFonts w:cstheme="minorHAnsi"/>
        </w:rPr>
      </w:pPr>
    </w:p>
    <w:p w14:paraId="22B46E22" w14:textId="1BBCED1F" w:rsidR="00FD7593" w:rsidRDefault="00FD7593" w:rsidP="00A10F14">
      <w:pPr>
        <w:rPr>
          <w:rFonts w:cstheme="minorHAnsi"/>
        </w:rPr>
      </w:pPr>
    </w:p>
    <w:p w14:paraId="39E16D78" w14:textId="5C676B5F" w:rsidR="00FD7593" w:rsidRDefault="00FD7593" w:rsidP="00A10F14">
      <w:pPr>
        <w:rPr>
          <w:rFonts w:cstheme="minorHAnsi"/>
        </w:rPr>
      </w:pPr>
    </w:p>
    <w:p w14:paraId="068EF7E7" w14:textId="77777777" w:rsidR="00FD7593" w:rsidRPr="00A10F14" w:rsidRDefault="00FD7593" w:rsidP="00A10F14">
      <w:pPr>
        <w:rPr>
          <w:rFonts w:cstheme="minorHAnsi"/>
        </w:rPr>
      </w:pPr>
    </w:p>
    <w:p w14:paraId="072F4CBC" w14:textId="77777777" w:rsidR="00A10F14" w:rsidRDefault="00A10F14" w:rsidP="00A10F14">
      <w:r w:rsidRPr="001D7074">
        <w:rPr>
          <w:rFonts w:ascii="Candara" w:hAnsi="Candara"/>
          <w:b/>
          <w:noProof/>
        </w:rPr>
        <w:lastRenderedPageBreak/>
        <w:drawing>
          <wp:inline distT="0" distB="0" distL="0" distR="0" wp14:anchorId="33C64162" wp14:editId="0AC5E51A">
            <wp:extent cx="1371600" cy="466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P_M4_logo.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71600" cy="466344"/>
                    </a:xfrm>
                    <a:prstGeom prst="rect">
                      <a:avLst/>
                    </a:prstGeom>
                  </pic:spPr>
                </pic:pic>
              </a:graphicData>
            </a:graphic>
          </wp:inline>
        </w:drawing>
      </w:r>
    </w:p>
    <w:tbl>
      <w:tblPr>
        <w:tblStyle w:val="TableGrid"/>
        <w:tblW w:w="18895" w:type="dxa"/>
        <w:tblLook w:val="04A0" w:firstRow="1" w:lastRow="0" w:firstColumn="1" w:lastColumn="0" w:noHBand="0" w:noVBand="1"/>
      </w:tblPr>
      <w:tblGrid>
        <w:gridCol w:w="1705"/>
        <w:gridCol w:w="3330"/>
        <w:gridCol w:w="3330"/>
        <w:gridCol w:w="10530"/>
      </w:tblGrid>
      <w:tr w:rsidR="00A10F14" w:rsidRPr="00EA7144" w14:paraId="4BC5313A" w14:textId="77777777" w:rsidTr="00EF15B9">
        <w:trPr>
          <w:tblHeader/>
        </w:trPr>
        <w:tc>
          <w:tcPr>
            <w:tcW w:w="1705" w:type="dxa"/>
            <w:shd w:val="clear" w:color="auto" w:fill="0099CC"/>
          </w:tcPr>
          <w:p w14:paraId="3C9F6C1D" w14:textId="77777777" w:rsidR="00A10F14" w:rsidRPr="00EA7144" w:rsidRDefault="00A10F14" w:rsidP="00EF15B9">
            <w:pPr>
              <w:jc w:val="center"/>
              <w:rPr>
                <w:rFonts w:ascii="Candara" w:hAnsi="Candara"/>
                <w:b/>
                <w:sz w:val="20"/>
                <w:szCs w:val="20"/>
              </w:rPr>
            </w:pPr>
            <w:r w:rsidRPr="00EA7144">
              <w:rPr>
                <w:rFonts w:ascii="Candara" w:hAnsi="Candara"/>
                <w:b/>
                <w:sz w:val="20"/>
                <w:szCs w:val="20"/>
              </w:rPr>
              <w:t>TOPIC</w:t>
            </w:r>
          </w:p>
        </w:tc>
        <w:tc>
          <w:tcPr>
            <w:tcW w:w="3330" w:type="dxa"/>
            <w:shd w:val="clear" w:color="auto" w:fill="0099CC"/>
          </w:tcPr>
          <w:p w14:paraId="4B0367A1" w14:textId="77777777" w:rsidR="00A10F14" w:rsidRPr="00EA7144" w:rsidRDefault="00A10F14" w:rsidP="00EF15B9">
            <w:pPr>
              <w:jc w:val="center"/>
              <w:rPr>
                <w:rFonts w:ascii="Candara" w:hAnsi="Candara"/>
                <w:b/>
                <w:sz w:val="20"/>
                <w:szCs w:val="20"/>
              </w:rPr>
            </w:pPr>
            <w:r w:rsidRPr="00EA7144">
              <w:rPr>
                <w:rFonts w:ascii="Candara" w:hAnsi="Candara"/>
                <w:b/>
                <w:sz w:val="20"/>
                <w:szCs w:val="20"/>
              </w:rPr>
              <w:t>DESCRIPTION</w:t>
            </w:r>
          </w:p>
        </w:tc>
        <w:tc>
          <w:tcPr>
            <w:tcW w:w="3330" w:type="dxa"/>
            <w:shd w:val="clear" w:color="auto" w:fill="0099CC"/>
          </w:tcPr>
          <w:p w14:paraId="5CAB762F" w14:textId="77777777" w:rsidR="00A10F14" w:rsidRPr="00EA7144" w:rsidRDefault="00A10F14" w:rsidP="00EF15B9">
            <w:pPr>
              <w:jc w:val="center"/>
              <w:rPr>
                <w:rFonts w:ascii="Candara" w:hAnsi="Candara"/>
                <w:b/>
                <w:sz w:val="20"/>
                <w:szCs w:val="20"/>
              </w:rPr>
            </w:pPr>
            <w:r w:rsidRPr="00EA7144">
              <w:rPr>
                <w:rFonts w:ascii="Candara" w:hAnsi="Candara"/>
                <w:b/>
                <w:sz w:val="20"/>
                <w:szCs w:val="20"/>
              </w:rPr>
              <w:t>MCO PROCESS</w:t>
            </w:r>
          </w:p>
        </w:tc>
        <w:tc>
          <w:tcPr>
            <w:tcW w:w="10530" w:type="dxa"/>
            <w:shd w:val="clear" w:color="auto" w:fill="0099CC"/>
          </w:tcPr>
          <w:p w14:paraId="38E1DC17" w14:textId="77777777" w:rsidR="00A10F14" w:rsidRPr="00EA7144" w:rsidRDefault="00A10F14" w:rsidP="00EF15B9">
            <w:pPr>
              <w:jc w:val="center"/>
              <w:rPr>
                <w:rFonts w:ascii="Candara" w:hAnsi="Candara"/>
                <w:b/>
                <w:sz w:val="20"/>
                <w:szCs w:val="20"/>
              </w:rPr>
            </w:pPr>
            <w:r w:rsidRPr="00EA7144">
              <w:rPr>
                <w:rFonts w:ascii="Candara" w:hAnsi="Candara"/>
                <w:b/>
                <w:sz w:val="20"/>
                <w:szCs w:val="20"/>
              </w:rPr>
              <w:t>MCO RESPONSE</w:t>
            </w:r>
          </w:p>
        </w:tc>
      </w:tr>
      <w:tr w:rsidR="00A10F14" w:rsidRPr="00EA7144" w14:paraId="6F0B64FE" w14:textId="77777777" w:rsidTr="00EF15B9">
        <w:trPr>
          <w:tblHeader/>
        </w:trPr>
        <w:tc>
          <w:tcPr>
            <w:tcW w:w="1705" w:type="dxa"/>
            <w:shd w:val="clear" w:color="auto" w:fill="0099CC"/>
          </w:tcPr>
          <w:p w14:paraId="66FE53DC" w14:textId="77777777" w:rsidR="00A10F14" w:rsidRPr="00EA7144" w:rsidRDefault="00A10F14" w:rsidP="00EF15B9">
            <w:pPr>
              <w:jc w:val="center"/>
              <w:rPr>
                <w:rFonts w:ascii="Candara" w:hAnsi="Candara"/>
                <w:b/>
                <w:sz w:val="20"/>
                <w:szCs w:val="20"/>
              </w:rPr>
            </w:pPr>
          </w:p>
        </w:tc>
        <w:tc>
          <w:tcPr>
            <w:tcW w:w="3330" w:type="dxa"/>
            <w:shd w:val="clear" w:color="auto" w:fill="0099CC"/>
          </w:tcPr>
          <w:p w14:paraId="45E41E4D" w14:textId="77777777" w:rsidR="00A10F14" w:rsidRPr="00EA7144" w:rsidRDefault="00A10F14" w:rsidP="00EF15B9">
            <w:pPr>
              <w:jc w:val="center"/>
              <w:rPr>
                <w:rFonts w:ascii="Candara" w:hAnsi="Candara"/>
                <w:b/>
                <w:sz w:val="20"/>
                <w:szCs w:val="20"/>
              </w:rPr>
            </w:pPr>
          </w:p>
        </w:tc>
        <w:tc>
          <w:tcPr>
            <w:tcW w:w="3330" w:type="dxa"/>
            <w:shd w:val="clear" w:color="auto" w:fill="0099CC"/>
          </w:tcPr>
          <w:p w14:paraId="5B6B41B8" w14:textId="77777777" w:rsidR="00A10F14" w:rsidRPr="00EA7144" w:rsidRDefault="00A10F14" w:rsidP="00EF15B9">
            <w:pPr>
              <w:jc w:val="center"/>
              <w:rPr>
                <w:rFonts w:ascii="Candara" w:hAnsi="Candara"/>
                <w:b/>
                <w:sz w:val="20"/>
                <w:szCs w:val="20"/>
              </w:rPr>
            </w:pPr>
            <w:r w:rsidRPr="00EA7144">
              <w:rPr>
                <w:rFonts w:ascii="Candara" w:hAnsi="Candara"/>
                <w:b/>
                <w:sz w:val="20"/>
                <w:szCs w:val="20"/>
              </w:rPr>
              <w:t>MCOs shall provide a brief description for each point within the topic area</w:t>
            </w:r>
          </w:p>
        </w:tc>
        <w:tc>
          <w:tcPr>
            <w:tcW w:w="10530" w:type="dxa"/>
            <w:shd w:val="clear" w:color="auto" w:fill="0099CC"/>
          </w:tcPr>
          <w:p w14:paraId="3CC51034" w14:textId="77777777" w:rsidR="00A10F14" w:rsidRPr="00EA7144" w:rsidRDefault="00A10F14" w:rsidP="00EF15B9">
            <w:pPr>
              <w:jc w:val="center"/>
              <w:rPr>
                <w:rFonts w:ascii="Candara" w:hAnsi="Candara"/>
                <w:b/>
                <w:sz w:val="20"/>
                <w:szCs w:val="20"/>
              </w:rPr>
            </w:pPr>
          </w:p>
        </w:tc>
      </w:tr>
      <w:tr w:rsidR="00A10F14" w:rsidRPr="00EA7144" w14:paraId="579F7EAC" w14:textId="77777777" w:rsidTr="00EF15B9">
        <w:tc>
          <w:tcPr>
            <w:tcW w:w="1705" w:type="dxa"/>
          </w:tcPr>
          <w:p w14:paraId="232E56C4" w14:textId="77777777" w:rsidR="00A10F14" w:rsidRPr="00EA7144" w:rsidRDefault="00A10F14" w:rsidP="00EF15B9">
            <w:pPr>
              <w:rPr>
                <w:rFonts w:ascii="Candara" w:hAnsi="Candara"/>
                <w:sz w:val="20"/>
                <w:szCs w:val="20"/>
              </w:rPr>
            </w:pPr>
            <w:r w:rsidRPr="00EA7144">
              <w:rPr>
                <w:rFonts w:ascii="Candara" w:hAnsi="Candara"/>
                <w:sz w:val="20"/>
                <w:szCs w:val="20"/>
              </w:rPr>
              <w:t>MCO Credentialing and Contracting</w:t>
            </w:r>
          </w:p>
        </w:tc>
        <w:tc>
          <w:tcPr>
            <w:tcW w:w="3330" w:type="dxa"/>
          </w:tcPr>
          <w:p w14:paraId="43C365A9" w14:textId="77777777" w:rsidR="00A10F14" w:rsidRPr="00EA7144" w:rsidRDefault="00A10F14" w:rsidP="00EF15B9">
            <w:pPr>
              <w:rPr>
                <w:rFonts w:ascii="Candara" w:hAnsi="Candara"/>
                <w:sz w:val="20"/>
                <w:szCs w:val="20"/>
              </w:rPr>
            </w:pPr>
            <w:r w:rsidRPr="00EA7144">
              <w:rPr>
                <w:rFonts w:ascii="Candara" w:eastAsia="Times New Roman" w:hAnsi="Candara" w:cs="Calibri"/>
                <w:color w:val="000000"/>
                <w:sz w:val="20"/>
                <w:szCs w:val="20"/>
              </w:rPr>
              <w:t xml:space="preserve">All EI providers must be credentialed and contracted by each MCO in order to provide services to members enrolled with the MCO.             </w:t>
            </w:r>
            <w:r w:rsidRPr="00EA7144">
              <w:rPr>
                <w:rFonts w:ascii="Candara" w:eastAsia="Times New Roman" w:hAnsi="Candara" w:cs="Calibri"/>
                <w:color w:val="000000"/>
                <w:sz w:val="20"/>
                <w:szCs w:val="20"/>
              </w:rPr>
              <w:br/>
            </w:r>
            <w:r w:rsidRPr="00EA7144">
              <w:rPr>
                <w:rFonts w:ascii="Candara" w:eastAsia="Times New Roman" w:hAnsi="Candara" w:cs="Calibri"/>
                <w:color w:val="000000"/>
                <w:sz w:val="20"/>
                <w:szCs w:val="20"/>
              </w:rPr>
              <w:br/>
              <w:t>All EI providers must be certified by DBHDS and affiliated with a LLA prior to the MCO credentialing and contracting process.</w:t>
            </w:r>
            <w:r w:rsidRPr="00EA7144">
              <w:rPr>
                <w:rFonts w:ascii="Candara" w:eastAsia="Times New Roman" w:hAnsi="Candara" w:cs="Calibri"/>
                <w:color w:val="000000"/>
                <w:sz w:val="20"/>
                <w:szCs w:val="20"/>
              </w:rPr>
              <w:br/>
            </w:r>
          </w:p>
        </w:tc>
        <w:tc>
          <w:tcPr>
            <w:tcW w:w="3330" w:type="dxa"/>
          </w:tcPr>
          <w:p w14:paraId="3A1FD0AC" w14:textId="77777777" w:rsidR="00A10F14" w:rsidRPr="00EA7144" w:rsidRDefault="00A10F14" w:rsidP="00A10F14">
            <w:pPr>
              <w:pStyle w:val="ListParagraph"/>
              <w:numPr>
                <w:ilvl w:val="0"/>
                <w:numId w:val="2"/>
              </w:numPr>
              <w:ind w:left="216" w:hanging="216"/>
              <w:rPr>
                <w:rFonts w:ascii="Candara" w:eastAsia="Times New Roman" w:hAnsi="Candara" w:cs="Calibri"/>
                <w:color w:val="000000"/>
                <w:sz w:val="20"/>
                <w:szCs w:val="20"/>
              </w:rPr>
            </w:pPr>
            <w:r w:rsidRPr="00EA7144">
              <w:rPr>
                <w:rFonts w:ascii="Candara" w:eastAsia="Times New Roman" w:hAnsi="Candara" w:cs="Calibri"/>
                <w:color w:val="000000"/>
                <w:sz w:val="20"/>
                <w:szCs w:val="20"/>
              </w:rPr>
              <w:t>Credentialing process</w:t>
            </w:r>
          </w:p>
          <w:p w14:paraId="71952CE0" w14:textId="77777777" w:rsidR="00A10F14" w:rsidRPr="00EA7144" w:rsidRDefault="00A10F14" w:rsidP="00A10F14">
            <w:pPr>
              <w:pStyle w:val="ListParagraph"/>
              <w:numPr>
                <w:ilvl w:val="0"/>
                <w:numId w:val="2"/>
              </w:numPr>
              <w:ind w:left="216" w:hanging="216"/>
              <w:rPr>
                <w:rFonts w:ascii="Candara" w:eastAsia="Times New Roman" w:hAnsi="Candara" w:cs="Calibri"/>
                <w:color w:val="000000"/>
                <w:sz w:val="20"/>
                <w:szCs w:val="20"/>
              </w:rPr>
            </w:pPr>
            <w:r w:rsidRPr="00EA7144">
              <w:rPr>
                <w:rFonts w:ascii="Candara" w:eastAsia="Times New Roman" w:hAnsi="Candara" w:cs="Calibri"/>
                <w:color w:val="000000"/>
                <w:sz w:val="20"/>
                <w:szCs w:val="20"/>
              </w:rPr>
              <w:t>CAQH process</w:t>
            </w:r>
          </w:p>
          <w:p w14:paraId="02E777C7" w14:textId="77777777" w:rsidR="00A10F14" w:rsidRPr="00EA7144" w:rsidRDefault="00A10F14" w:rsidP="00A10F14">
            <w:pPr>
              <w:pStyle w:val="ListParagraph"/>
              <w:numPr>
                <w:ilvl w:val="0"/>
                <w:numId w:val="2"/>
              </w:numPr>
              <w:ind w:left="216" w:hanging="216"/>
              <w:rPr>
                <w:rFonts w:ascii="Candara" w:eastAsia="Times New Roman" w:hAnsi="Candara" w:cs="Calibri"/>
                <w:color w:val="000000"/>
                <w:sz w:val="20"/>
                <w:szCs w:val="20"/>
              </w:rPr>
            </w:pPr>
            <w:r w:rsidRPr="00EA7144">
              <w:rPr>
                <w:rFonts w:ascii="Candara" w:eastAsia="Times New Roman" w:hAnsi="Candara" w:cs="Calibri"/>
                <w:color w:val="000000"/>
                <w:sz w:val="20"/>
                <w:szCs w:val="20"/>
              </w:rPr>
              <w:t>Contracting process</w:t>
            </w:r>
          </w:p>
          <w:p w14:paraId="04EABE13" w14:textId="77777777" w:rsidR="00A10F14" w:rsidRPr="00EA7144" w:rsidRDefault="00A10F14" w:rsidP="00A10F14">
            <w:pPr>
              <w:pStyle w:val="ListParagraph"/>
              <w:numPr>
                <w:ilvl w:val="0"/>
                <w:numId w:val="2"/>
              </w:numPr>
              <w:ind w:left="216" w:hanging="216"/>
              <w:rPr>
                <w:rFonts w:ascii="Candara" w:eastAsia="Times New Roman" w:hAnsi="Candara" w:cs="Calibri"/>
                <w:color w:val="000000"/>
                <w:sz w:val="20"/>
                <w:szCs w:val="20"/>
              </w:rPr>
            </w:pPr>
            <w:r w:rsidRPr="00EA7144">
              <w:rPr>
                <w:rFonts w:ascii="Candara" w:eastAsia="Times New Roman" w:hAnsi="Candara" w:cs="Calibri"/>
                <w:color w:val="000000"/>
                <w:sz w:val="20"/>
                <w:szCs w:val="20"/>
              </w:rPr>
              <w:t>Credentialing and contracting educators and other non-traditional disciplines</w:t>
            </w:r>
          </w:p>
          <w:p w14:paraId="3C8A9BE6" w14:textId="77777777" w:rsidR="00A10F14" w:rsidRPr="00EA7144" w:rsidRDefault="00A10F14" w:rsidP="00A10F14">
            <w:pPr>
              <w:pStyle w:val="ListParagraph"/>
              <w:numPr>
                <w:ilvl w:val="0"/>
                <w:numId w:val="2"/>
              </w:numPr>
              <w:ind w:left="216" w:hanging="216"/>
              <w:rPr>
                <w:rFonts w:ascii="Candara" w:eastAsia="Times New Roman" w:hAnsi="Candara" w:cs="Calibri"/>
                <w:color w:val="000000"/>
                <w:sz w:val="20"/>
                <w:szCs w:val="20"/>
              </w:rPr>
            </w:pPr>
            <w:r w:rsidRPr="00EA7144">
              <w:rPr>
                <w:rFonts w:ascii="Candara" w:eastAsia="Times New Roman" w:hAnsi="Candara" w:cs="Calibri"/>
                <w:color w:val="000000"/>
                <w:sz w:val="20"/>
                <w:szCs w:val="20"/>
              </w:rPr>
              <w:t>Credentialing and contracting service coordinators</w:t>
            </w:r>
          </w:p>
          <w:p w14:paraId="2C8B8B7B" w14:textId="77777777" w:rsidR="00A10F14" w:rsidRPr="00EA7144" w:rsidRDefault="00A10F14" w:rsidP="00A10F14">
            <w:pPr>
              <w:pStyle w:val="ListParagraph"/>
              <w:numPr>
                <w:ilvl w:val="0"/>
                <w:numId w:val="2"/>
              </w:numPr>
              <w:ind w:left="216" w:hanging="216"/>
              <w:rPr>
                <w:rFonts w:ascii="Candara" w:eastAsia="Times New Roman" w:hAnsi="Candara" w:cs="Calibri"/>
                <w:color w:val="000000"/>
                <w:sz w:val="20"/>
                <w:szCs w:val="20"/>
              </w:rPr>
            </w:pPr>
            <w:r w:rsidRPr="00EA7144">
              <w:rPr>
                <w:rFonts w:ascii="Candara" w:eastAsia="Times New Roman" w:hAnsi="Candara" w:cs="Calibri"/>
                <w:color w:val="000000"/>
                <w:sz w:val="20"/>
                <w:szCs w:val="20"/>
              </w:rPr>
              <w:t>Handling of out-of-network providers</w:t>
            </w:r>
          </w:p>
        </w:tc>
        <w:tc>
          <w:tcPr>
            <w:tcW w:w="10530" w:type="dxa"/>
          </w:tcPr>
          <w:p w14:paraId="0072BC70" w14:textId="77777777" w:rsidR="00A10F14" w:rsidRDefault="00A10F14" w:rsidP="00EF15B9">
            <w:pPr>
              <w:rPr>
                <w:rFonts w:ascii="Candara" w:eastAsia="Times New Roman" w:hAnsi="Candara" w:cs="Calibri"/>
                <w:bCs/>
                <w:color w:val="000000"/>
                <w:sz w:val="20"/>
                <w:szCs w:val="20"/>
              </w:rPr>
            </w:pPr>
            <w:r w:rsidRPr="00EA7144">
              <w:rPr>
                <w:rFonts w:ascii="Candara" w:eastAsia="Times New Roman" w:hAnsi="Candara" w:cs="Calibri"/>
                <w:bCs/>
                <w:color w:val="000000"/>
                <w:sz w:val="20"/>
                <w:szCs w:val="20"/>
              </w:rPr>
              <w:t xml:space="preserve">The Credentialing Department shall validate and/or confirm information related to the credentialing and/or recredentialing of a prospective or participating practitioner by utilizing the primary source or its designee(s) pursuant to requirements of VP, the Department of Medical Assistant Services (DMAS), the National Committee for Quality Assurance (NCQA), CMS (Center for Medicaid and Medicare Services) and/or any other applicable regulatory body.  Information relied upon shall be current and valid at the time of the Credentialing Committee’s decision.  An application will not be presented to the Credentialing Committee that is signed or dated more than 180 days prior to credentialing committee review.   </w:t>
            </w:r>
          </w:p>
          <w:p w14:paraId="4CB3C47E" w14:textId="77777777" w:rsidR="00A10F14" w:rsidRDefault="00A10F14" w:rsidP="00EF15B9">
            <w:pPr>
              <w:rPr>
                <w:rFonts w:ascii="Candara" w:eastAsia="Times New Roman" w:hAnsi="Candara" w:cs="Calibri"/>
                <w:bCs/>
                <w:color w:val="000000"/>
                <w:sz w:val="20"/>
                <w:szCs w:val="20"/>
              </w:rPr>
            </w:pPr>
          </w:p>
          <w:p w14:paraId="2785EB45" w14:textId="77777777" w:rsidR="00A10F14" w:rsidRPr="00EA7144" w:rsidRDefault="00A10F14" w:rsidP="00EF15B9">
            <w:pPr>
              <w:rPr>
                <w:rFonts w:ascii="Candara" w:eastAsia="Times New Roman" w:hAnsi="Candara" w:cs="Calibri"/>
                <w:color w:val="000000"/>
                <w:sz w:val="20"/>
                <w:szCs w:val="20"/>
              </w:rPr>
            </w:pPr>
            <w:r w:rsidRPr="00EA7144">
              <w:rPr>
                <w:rFonts w:ascii="Candara" w:eastAsia="Times New Roman" w:hAnsi="Candara" w:cs="Calibri"/>
                <w:bCs/>
                <w:color w:val="000000"/>
                <w:sz w:val="20"/>
                <w:szCs w:val="20"/>
              </w:rPr>
              <w:t>Verifications shall be conducted within 180 calendar days from the attestation date.  The organization conducts timely verification of information to ensure that practitioners have the legal authority and relevant training and experience to provide quality care. Virginia Premier does utilize CAQH for application purposes only. The practitioner is solely responsible for enrolling with CAQH and the maintenance of the information required. The credentialing process does not differ for educators or non-traditional disciplines (guidance provide by the EI/CCC= Workgroup). Virginia Premier has set internal guidelines to include guidance from DMAS when credentialing service coordinators.</w:t>
            </w:r>
          </w:p>
        </w:tc>
      </w:tr>
      <w:tr w:rsidR="00A10F14" w:rsidRPr="00EA7144" w14:paraId="6E37F260" w14:textId="77777777" w:rsidTr="00EF15B9">
        <w:tc>
          <w:tcPr>
            <w:tcW w:w="1705" w:type="dxa"/>
          </w:tcPr>
          <w:p w14:paraId="1CCB66B3" w14:textId="77777777" w:rsidR="00A10F14" w:rsidRPr="00EA7144" w:rsidRDefault="00A10F14" w:rsidP="00EF15B9">
            <w:pPr>
              <w:rPr>
                <w:rFonts w:ascii="Candara" w:hAnsi="Candara"/>
                <w:sz w:val="20"/>
                <w:szCs w:val="20"/>
              </w:rPr>
            </w:pPr>
            <w:r w:rsidRPr="00EA7144">
              <w:rPr>
                <w:rFonts w:ascii="Candara" w:hAnsi="Candara"/>
                <w:sz w:val="20"/>
                <w:szCs w:val="20"/>
              </w:rPr>
              <w:t>Malpractice Insurance for Educators</w:t>
            </w:r>
          </w:p>
        </w:tc>
        <w:tc>
          <w:tcPr>
            <w:tcW w:w="3330" w:type="dxa"/>
          </w:tcPr>
          <w:p w14:paraId="422FAF2E" w14:textId="77777777" w:rsidR="00A10F14" w:rsidRPr="00EA7144" w:rsidRDefault="00A10F14" w:rsidP="00EF15B9">
            <w:pPr>
              <w:rPr>
                <w:rFonts w:ascii="Candara" w:hAnsi="Candara"/>
                <w:sz w:val="20"/>
                <w:szCs w:val="20"/>
              </w:rPr>
            </w:pPr>
            <w:r w:rsidRPr="00EA7144">
              <w:rPr>
                <w:rFonts w:ascii="Candara" w:hAnsi="Candara"/>
                <w:sz w:val="20"/>
                <w:szCs w:val="20"/>
              </w:rPr>
              <w:t>Providers must have malpractice insurance if they are not covered by the local system.</w:t>
            </w:r>
          </w:p>
        </w:tc>
        <w:tc>
          <w:tcPr>
            <w:tcW w:w="3330" w:type="dxa"/>
          </w:tcPr>
          <w:p w14:paraId="3A603C7F" w14:textId="77777777" w:rsidR="00A10F14" w:rsidRPr="00EA7144" w:rsidRDefault="00A10F14" w:rsidP="00A10F14">
            <w:pPr>
              <w:pStyle w:val="ListParagraph"/>
              <w:numPr>
                <w:ilvl w:val="0"/>
                <w:numId w:val="3"/>
              </w:numPr>
              <w:ind w:left="216" w:hanging="216"/>
              <w:rPr>
                <w:rFonts w:ascii="Candara" w:hAnsi="Candara"/>
                <w:sz w:val="20"/>
                <w:szCs w:val="20"/>
              </w:rPr>
            </w:pPr>
            <w:r w:rsidRPr="00EA7144">
              <w:rPr>
                <w:rFonts w:ascii="Candara" w:hAnsi="Candara"/>
                <w:sz w:val="20"/>
                <w:szCs w:val="20"/>
              </w:rPr>
              <w:t xml:space="preserve">Requirements related to malpractice insurance for educators and non-traditional disciplines </w:t>
            </w:r>
          </w:p>
        </w:tc>
        <w:tc>
          <w:tcPr>
            <w:tcW w:w="10530" w:type="dxa"/>
          </w:tcPr>
          <w:p w14:paraId="18FDA43D" w14:textId="77777777" w:rsidR="00A10F14" w:rsidRPr="00EA7144" w:rsidRDefault="00A10F14" w:rsidP="00EF15B9">
            <w:pPr>
              <w:rPr>
                <w:rFonts w:ascii="Candara" w:eastAsia="Calibri" w:hAnsi="Candara" w:cs="Calibri"/>
                <w:bCs/>
                <w:iCs/>
                <w:sz w:val="20"/>
                <w:szCs w:val="20"/>
              </w:rPr>
            </w:pPr>
            <w:r w:rsidRPr="00EA7144">
              <w:rPr>
                <w:rFonts w:ascii="Candara" w:eastAsia="Times New Roman" w:hAnsi="Candara" w:cs="Calibri"/>
                <w:color w:val="000000"/>
                <w:sz w:val="20"/>
                <w:szCs w:val="20"/>
              </w:rPr>
              <w:t>Credentialing: Malpractice History must be verified within 180 calendar days of the attestation (signature) date on the application.  May obtain past five years of history of malpractice settlements from the malpractice carrier or must query NPDB or a copy of the current malpractice policy face sheet.</w:t>
            </w:r>
            <w:r w:rsidRPr="00EA7144">
              <w:rPr>
                <w:rFonts w:ascii="Candara" w:eastAsia="Calibri" w:hAnsi="Candara" w:cs="Calibri"/>
                <w:bCs/>
                <w:iCs/>
                <w:sz w:val="20"/>
                <w:szCs w:val="20"/>
              </w:rPr>
              <w:t xml:space="preserve">  </w:t>
            </w:r>
          </w:p>
          <w:p w14:paraId="5592724E" w14:textId="77777777" w:rsidR="00A10F14" w:rsidRPr="00EA7144" w:rsidRDefault="00A10F14" w:rsidP="00EF15B9">
            <w:pPr>
              <w:rPr>
                <w:rFonts w:ascii="Candara" w:hAnsi="Candara"/>
                <w:sz w:val="20"/>
                <w:szCs w:val="20"/>
              </w:rPr>
            </w:pPr>
          </w:p>
        </w:tc>
      </w:tr>
      <w:tr w:rsidR="00A10F14" w:rsidRPr="00EA7144" w14:paraId="7978FC48" w14:textId="77777777" w:rsidTr="00EF15B9">
        <w:tc>
          <w:tcPr>
            <w:tcW w:w="1705" w:type="dxa"/>
          </w:tcPr>
          <w:p w14:paraId="735A371F" w14:textId="77777777" w:rsidR="00A10F14" w:rsidRPr="00EA7144" w:rsidRDefault="00A10F14" w:rsidP="00EF15B9">
            <w:pPr>
              <w:rPr>
                <w:rFonts w:ascii="Candara" w:hAnsi="Candara"/>
                <w:sz w:val="20"/>
                <w:szCs w:val="20"/>
              </w:rPr>
            </w:pPr>
            <w:r w:rsidRPr="00EA7144">
              <w:rPr>
                <w:rFonts w:ascii="Candara" w:hAnsi="Candara"/>
                <w:sz w:val="20"/>
                <w:szCs w:val="20"/>
              </w:rPr>
              <w:t>IFSP</w:t>
            </w:r>
          </w:p>
        </w:tc>
        <w:tc>
          <w:tcPr>
            <w:tcW w:w="3330" w:type="dxa"/>
          </w:tcPr>
          <w:p w14:paraId="67018FFA" w14:textId="77777777" w:rsidR="00A10F14" w:rsidRPr="00EA7144" w:rsidRDefault="00A10F14" w:rsidP="00EF15B9">
            <w:pPr>
              <w:rPr>
                <w:rFonts w:ascii="Candara" w:hAnsi="Candara"/>
                <w:sz w:val="20"/>
                <w:szCs w:val="20"/>
              </w:rPr>
            </w:pPr>
            <w:r w:rsidRPr="00EA7144">
              <w:rPr>
                <w:rFonts w:ascii="Candara" w:hAnsi="Candara"/>
                <w:sz w:val="20"/>
                <w:szCs w:val="20"/>
              </w:rPr>
              <w:t xml:space="preserve">IFSP must be on file with the MCO for the claim to be considered a Clean Claim. </w:t>
            </w:r>
          </w:p>
          <w:p w14:paraId="41FD636E" w14:textId="77777777" w:rsidR="00A10F14" w:rsidRPr="00EA7144" w:rsidRDefault="00A10F14" w:rsidP="00EF15B9">
            <w:pPr>
              <w:rPr>
                <w:rFonts w:ascii="Candara" w:hAnsi="Candara"/>
                <w:sz w:val="20"/>
                <w:szCs w:val="20"/>
              </w:rPr>
            </w:pPr>
          </w:p>
          <w:p w14:paraId="30DC453C" w14:textId="77777777" w:rsidR="00A10F14" w:rsidRPr="00EA7144" w:rsidRDefault="00A10F14" w:rsidP="00EF15B9">
            <w:pPr>
              <w:rPr>
                <w:rFonts w:ascii="Candara" w:hAnsi="Candara"/>
                <w:sz w:val="20"/>
                <w:szCs w:val="20"/>
              </w:rPr>
            </w:pPr>
            <w:r w:rsidRPr="00EA7144">
              <w:rPr>
                <w:rFonts w:ascii="Candara" w:hAnsi="Candara"/>
                <w:sz w:val="20"/>
                <w:szCs w:val="20"/>
              </w:rPr>
              <w:t>If the IFSP is not on file with the MCO prior to the MCO receiving the claim, the claim will not be considered clean and the 14-day timeframe does not apply.</w:t>
            </w:r>
          </w:p>
        </w:tc>
        <w:tc>
          <w:tcPr>
            <w:tcW w:w="3330" w:type="dxa"/>
          </w:tcPr>
          <w:p w14:paraId="0D58D336" w14:textId="77777777" w:rsidR="00A10F14" w:rsidRPr="00EA7144" w:rsidRDefault="00A10F14" w:rsidP="00A10F14">
            <w:pPr>
              <w:pStyle w:val="ListParagraph"/>
              <w:numPr>
                <w:ilvl w:val="0"/>
                <w:numId w:val="3"/>
              </w:numPr>
              <w:ind w:left="216" w:hanging="216"/>
              <w:rPr>
                <w:rFonts w:ascii="Candara" w:hAnsi="Candara"/>
                <w:sz w:val="20"/>
                <w:szCs w:val="20"/>
              </w:rPr>
            </w:pPr>
            <w:r w:rsidRPr="00EA7144">
              <w:rPr>
                <w:rFonts w:ascii="Candara" w:hAnsi="Candara"/>
                <w:sz w:val="20"/>
                <w:szCs w:val="20"/>
              </w:rPr>
              <w:t>Method for LLAs to submit IFSP (fax, email) with the specific contact information</w:t>
            </w:r>
          </w:p>
          <w:p w14:paraId="23AB6BE0" w14:textId="77777777" w:rsidR="00A10F14" w:rsidRPr="00EA7144" w:rsidRDefault="00A10F14" w:rsidP="00A10F14">
            <w:pPr>
              <w:pStyle w:val="ListParagraph"/>
              <w:numPr>
                <w:ilvl w:val="0"/>
                <w:numId w:val="3"/>
              </w:numPr>
              <w:ind w:left="216" w:hanging="216"/>
              <w:rPr>
                <w:rFonts w:ascii="Candara" w:hAnsi="Candara"/>
                <w:sz w:val="20"/>
                <w:szCs w:val="20"/>
              </w:rPr>
            </w:pPr>
            <w:r w:rsidRPr="00EA7144">
              <w:rPr>
                <w:rFonts w:ascii="Candara" w:hAnsi="Candara"/>
                <w:sz w:val="20"/>
                <w:szCs w:val="20"/>
              </w:rPr>
              <w:t>Submission process of multiple IFSPs, i.e., batch or individual files</w:t>
            </w:r>
          </w:p>
          <w:p w14:paraId="02563F21" w14:textId="77777777" w:rsidR="00A10F14" w:rsidRPr="00EA7144" w:rsidRDefault="00A10F14" w:rsidP="00A10F14">
            <w:pPr>
              <w:pStyle w:val="ListParagraph"/>
              <w:numPr>
                <w:ilvl w:val="0"/>
                <w:numId w:val="3"/>
              </w:numPr>
              <w:ind w:left="216" w:hanging="216"/>
              <w:rPr>
                <w:rFonts w:ascii="Candara" w:hAnsi="Candara"/>
                <w:sz w:val="20"/>
                <w:szCs w:val="20"/>
              </w:rPr>
            </w:pPr>
            <w:r w:rsidRPr="00EA7144">
              <w:rPr>
                <w:rFonts w:ascii="Candara" w:hAnsi="Candara"/>
                <w:sz w:val="20"/>
                <w:szCs w:val="20"/>
              </w:rPr>
              <w:t>Confirmation of receipt of IFSP</w:t>
            </w:r>
          </w:p>
        </w:tc>
        <w:tc>
          <w:tcPr>
            <w:tcW w:w="10530" w:type="dxa"/>
          </w:tcPr>
          <w:p w14:paraId="41C084CB" w14:textId="77777777" w:rsidR="00A10F14" w:rsidRPr="0073480A" w:rsidRDefault="00A10F14" w:rsidP="00EF15B9">
            <w:pPr>
              <w:autoSpaceDE w:val="0"/>
              <w:autoSpaceDN w:val="0"/>
              <w:rPr>
                <w:rFonts w:ascii="Candara" w:hAnsi="Candara"/>
                <w:sz w:val="20"/>
                <w:szCs w:val="20"/>
              </w:rPr>
            </w:pPr>
            <w:r w:rsidRPr="00EA7144">
              <w:rPr>
                <w:rFonts w:ascii="Candara" w:hAnsi="Candara"/>
                <w:sz w:val="20"/>
                <w:szCs w:val="20"/>
              </w:rPr>
              <w:t>Providers can send individual IFSPs via fax (</w:t>
            </w:r>
            <w:r w:rsidRPr="00EA7144">
              <w:rPr>
                <w:rFonts w:ascii="Candara" w:eastAsia="Times New Roman" w:hAnsi="Candara"/>
                <w:bCs/>
                <w:sz w:val="20"/>
                <w:szCs w:val="20"/>
              </w:rPr>
              <w:t>800-827-7192); o</w:t>
            </w:r>
            <w:r w:rsidRPr="00EA7144">
              <w:rPr>
                <w:rFonts w:ascii="Candara" w:hAnsi="Candara"/>
                <w:sz w:val="20"/>
                <w:szCs w:val="20"/>
              </w:rPr>
              <w:t xml:space="preserve">nce it is received at VA Premier a fax receipt is sent.  </w:t>
            </w:r>
            <w:r w:rsidRPr="00EA7144">
              <w:rPr>
                <w:rFonts w:ascii="Candara" w:eastAsia="Times New Roman" w:hAnsi="Candara"/>
                <w:bCs/>
                <w:sz w:val="20"/>
                <w:szCs w:val="20"/>
              </w:rPr>
              <w:t xml:space="preserve"> Providers could also choose to</w:t>
            </w:r>
            <w:r w:rsidRPr="00EA7144">
              <w:rPr>
                <w:rFonts w:ascii="Candara" w:hAnsi="Candara"/>
                <w:sz w:val="20"/>
                <w:szCs w:val="20"/>
              </w:rPr>
              <w:t xml:space="preserve"> email their IFSPs to</w:t>
            </w:r>
            <w:r>
              <w:rPr>
                <w:rFonts w:ascii="Candara" w:hAnsi="Candara"/>
                <w:sz w:val="20"/>
                <w:szCs w:val="20"/>
              </w:rPr>
              <w:t xml:space="preserve"> (</w:t>
            </w:r>
            <w:hyperlink r:id="rId40" w:history="1">
              <w:r w:rsidRPr="005960E9">
                <w:rPr>
                  <w:rStyle w:val="Hyperlink"/>
                  <w:rFonts w:ascii="Candara" w:hAnsi="Candara"/>
                  <w:sz w:val="20"/>
                  <w:szCs w:val="20"/>
                </w:rPr>
                <w:t>DLA_ACL-MedallionCMReports@sentara.com</w:t>
              </w:r>
            </w:hyperlink>
            <w:r>
              <w:rPr>
                <w:rFonts w:ascii="Candara" w:hAnsi="Candara"/>
                <w:sz w:val="20"/>
                <w:szCs w:val="20"/>
              </w:rPr>
              <w:t>).</w:t>
            </w:r>
          </w:p>
          <w:p w14:paraId="11B3353F" w14:textId="77777777" w:rsidR="00A10F14" w:rsidRDefault="00A10F14" w:rsidP="00EF15B9">
            <w:pPr>
              <w:rPr>
                <w:rFonts w:ascii="Candara" w:hAnsi="Candara"/>
                <w:sz w:val="20"/>
                <w:szCs w:val="20"/>
              </w:rPr>
            </w:pPr>
          </w:p>
          <w:p w14:paraId="230E5FAC" w14:textId="77777777" w:rsidR="00A10F14" w:rsidRPr="00EA7144" w:rsidRDefault="00A10F14" w:rsidP="00EF15B9">
            <w:pPr>
              <w:rPr>
                <w:rFonts w:ascii="Candara" w:hAnsi="Candara"/>
                <w:sz w:val="20"/>
                <w:szCs w:val="20"/>
              </w:rPr>
            </w:pPr>
            <w:r w:rsidRPr="00EA7144">
              <w:rPr>
                <w:rFonts w:ascii="Candara" w:hAnsi="Candara"/>
                <w:sz w:val="20"/>
                <w:szCs w:val="20"/>
              </w:rPr>
              <w:t>Once an IFSP is received by either route it is forwarded to a case manager who will then call to confirm receipt of the IFSP to the service providers providing contact information for further care coordination.</w:t>
            </w:r>
          </w:p>
        </w:tc>
      </w:tr>
      <w:tr w:rsidR="00A10F14" w:rsidRPr="00EA7144" w14:paraId="7CDFB23F" w14:textId="77777777" w:rsidTr="00EF15B9">
        <w:tc>
          <w:tcPr>
            <w:tcW w:w="1705" w:type="dxa"/>
          </w:tcPr>
          <w:p w14:paraId="31735C34" w14:textId="77777777" w:rsidR="00A10F14" w:rsidRPr="00EA7144" w:rsidRDefault="00A10F14" w:rsidP="00EF15B9">
            <w:pPr>
              <w:rPr>
                <w:rFonts w:ascii="Candara" w:hAnsi="Candara"/>
                <w:sz w:val="20"/>
                <w:szCs w:val="20"/>
              </w:rPr>
            </w:pPr>
            <w:r w:rsidRPr="00EA7144">
              <w:rPr>
                <w:rFonts w:ascii="Candara" w:hAnsi="Candara"/>
                <w:sz w:val="20"/>
                <w:szCs w:val="20"/>
              </w:rPr>
              <w:t>Clean Claim</w:t>
            </w:r>
          </w:p>
        </w:tc>
        <w:tc>
          <w:tcPr>
            <w:tcW w:w="3330" w:type="dxa"/>
          </w:tcPr>
          <w:p w14:paraId="31A50F15" w14:textId="77777777" w:rsidR="00A10F14" w:rsidRPr="00EA7144" w:rsidRDefault="00A10F14" w:rsidP="00EF15B9">
            <w:pPr>
              <w:rPr>
                <w:rFonts w:ascii="Candara" w:hAnsi="Candara"/>
                <w:sz w:val="20"/>
                <w:szCs w:val="20"/>
              </w:rPr>
            </w:pPr>
            <w:r w:rsidRPr="00EA7144">
              <w:rPr>
                <w:rFonts w:ascii="Candara" w:hAnsi="Candara"/>
                <w:sz w:val="20"/>
                <w:szCs w:val="20"/>
              </w:rPr>
              <w:t>Clean claims must be paid within 14 days.</w:t>
            </w:r>
          </w:p>
        </w:tc>
        <w:tc>
          <w:tcPr>
            <w:tcW w:w="3330" w:type="dxa"/>
          </w:tcPr>
          <w:p w14:paraId="24406A74" w14:textId="77777777" w:rsidR="00A10F14" w:rsidRPr="00EA7144" w:rsidRDefault="00A10F14" w:rsidP="00A10F14">
            <w:pPr>
              <w:pStyle w:val="ListParagraph"/>
              <w:numPr>
                <w:ilvl w:val="0"/>
                <w:numId w:val="4"/>
              </w:numPr>
              <w:ind w:left="216" w:hanging="216"/>
              <w:rPr>
                <w:rFonts w:ascii="Candara" w:hAnsi="Candara"/>
                <w:sz w:val="20"/>
                <w:szCs w:val="20"/>
              </w:rPr>
            </w:pPr>
            <w:r w:rsidRPr="00EA7144">
              <w:rPr>
                <w:rFonts w:ascii="Candara" w:hAnsi="Candara"/>
                <w:sz w:val="20"/>
                <w:szCs w:val="20"/>
              </w:rPr>
              <w:t>Process for non-clean claims, i.e., rejected or denied</w:t>
            </w:r>
          </w:p>
          <w:p w14:paraId="5640A51A" w14:textId="77777777" w:rsidR="00A10F14" w:rsidRPr="00EA7144" w:rsidRDefault="00A10F14" w:rsidP="00A10F14">
            <w:pPr>
              <w:pStyle w:val="ListParagraph"/>
              <w:numPr>
                <w:ilvl w:val="0"/>
                <w:numId w:val="4"/>
              </w:numPr>
              <w:ind w:left="216" w:hanging="216"/>
              <w:rPr>
                <w:rFonts w:ascii="Candara" w:hAnsi="Candara"/>
                <w:sz w:val="20"/>
                <w:szCs w:val="20"/>
              </w:rPr>
            </w:pPr>
            <w:r w:rsidRPr="00EA7144">
              <w:rPr>
                <w:rFonts w:ascii="Candara" w:hAnsi="Candara"/>
                <w:sz w:val="20"/>
                <w:szCs w:val="20"/>
              </w:rPr>
              <w:t>Process for handling non-clean claims with the provider</w:t>
            </w:r>
          </w:p>
        </w:tc>
        <w:tc>
          <w:tcPr>
            <w:tcW w:w="10530" w:type="dxa"/>
          </w:tcPr>
          <w:p w14:paraId="090AC2CC" w14:textId="77777777" w:rsidR="00A10F14" w:rsidRPr="00EA7144" w:rsidRDefault="00A10F14" w:rsidP="00EF15B9">
            <w:pPr>
              <w:rPr>
                <w:rFonts w:ascii="Candara" w:eastAsia="Times New Roman" w:hAnsi="Candara"/>
                <w:color w:val="000000"/>
                <w:sz w:val="20"/>
                <w:szCs w:val="20"/>
              </w:rPr>
            </w:pPr>
            <w:r w:rsidRPr="00EA7144">
              <w:rPr>
                <w:rFonts w:ascii="Candara" w:eastAsia="Times New Roman" w:hAnsi="Candara"/>
                <w:color w:val="000000"/>
                <w:sz w:val="20"/>
                <w:szCs w:val="20"/>
              </w:rPr>
              <w:t>Claims process all clean claims within 14Ds of receipt.  Unclean claims are either denied, rejected up front or provider is outreached to remediate in order to capture elements needed to process</w:t>
            </w:r>
          </w:p>
        </w:tc>
      </w:tr>
      <w:tr w:rsidR="00A10F14" w:rsidRPr="00EA7144" w14:paraId="14F709C0" w14:textId="77777777" w:rsidTr="00EF15B9">
        <w:tc>
          <w:tcPr>
            <w:tcW w:w="1705" w:type="dxa"/>
          </w:tcPr>
          <w:p w14:paraId="2CC6062F" w14:textId="77777777" w:rsidR="00A10F14" w:rsidRPr="00EA7144" w:rsidRDefault="00A10F14" w:rsidP="00EF15B9">
            <w:pPr>
              <w:rPr>
                <w:rFonts w:ascii="Candara" w:hAnsi="Candara"/>
                <w:sz w:val="20"/>
                <w:szCs w:val="20"/>
              </w:rPr>
            </w:pPr>
            <w:r w:rsidRPr="00EA7144">
              <w:rPr>
                <w:rFonts w:ascii="Candara" w:hAnsi="Candara"/>
                <w:sz w:val="20"/>
                <w:szCs w:val="20"/>
              </w:rPr>
              <w:t>Decline to Bill Form and EOB</w:t>
            </w:r>
          </w:p>
        </w:tc>
        <w:tc>
          <w:tcPr>
            <w:tcW w:w="3330" w:type="dxa"/>
          </w:tcPr>
          <w:p w14:paraId="43E8171C" w14:textId="77777777" w:rsidR="00A10F14" w:rsidRPr="00EA7144" w:rsidRDefault="00A10F14" w:rsidP="00EF15B9">
            <w:pPr>
              <w:rPr>
                <w:rFonts w:ascii="Candara" w:hAnsi="Candara"/>
                <w:sz w:val="20"/>
                <w:szCs w:val="20"/>
              </w:rPr>
            </w:pPr>
            <w:r w:rsidRPr="00EA7144">
              <w:rPr>
                <w:rFonts w:ascii="Candara" w:hAnsi="Candara"/>
                <w:sz w:val="20"/>
                <w:szCs w:val="20"/>
              </w:rPr>
              <w:t xml:space="preserve">Families may decline to bill their private insurance for coverage of EI </w:t>
            </w:r>
            <w:r w:rsidRPr="00EA7144">
              <w:rPr>
                <w:rFonts w:ascii="Candara" w:hAnsi="Candara"/>
                <w:sz w:val="20"/>
                <w:szCs w:val="20"/>
              </w:rPr>
              <w:lastRenderedPageBreak/>
              <w:t>services and will sign the Decline to Bill Form. LLAs will have this form on file.</w:t>
            </w:r>
          </w:p>
          <w:p w14:paraId="39CB6570" w14:textId="77777777" w:rsidR="00A10F14" w:rsidRPr="00EA7144" w:rsidRDefault="00A10F14" w:rsidP="00EF15B9">
            <w:pPr>
              <w:rPr>
                <w:rFonts w:ascii="Candara" w:hAnsi="Candara"/>
                <w:sz w:val="20"/>
                <w:szCs w:val="20"/>
              </w:rPr>
            </w:pPr>
            <w:r w:rsidRPr="00EA7144">
              <w:rPr>
                <w:rFonts w:ascii="Candara" w:hAnsi="Candara"/>
                <w:sz w:val="20"/>
                <w:szCs w:val="20"/>
              </w:rPr>
              <w:t>If family does not decline to bill, the private insurance will send EOB</w:t>
            </w:r>
          </w:p>
        </w:tc>
        <w:tc>
          <w:tcPr>
            <w:tcW w:w="3330" w:type="dxa"/>
          </w:tcPr>
          <w:p w14:paraId="4AFF527A" w14:textId="77777777" w:rsidR="00A10F14" w:rsidRPr="00EA7144" w:rsidRDefault="00A10F14" w:rsidP="00A10F14">
            <w:pPr>
              <w:pStyle w:val="ListParagraph"/>
              <w:numPr>
                <w:ilvl w:val="0"/>
                <w:numId w:val="5"/>
              </w:numPr>
              <w:ind w:left="216" w:hanging="216"/>
              <w:rPr>
                <w:rFonts w:ascii="Candara" w:hAnsi="Candara"/>
                <w:sz w:val="20"/>
                <w:szCs w:val="20"/>
              </w:rPr>
            </w:pPr>
            <w:r w:rsidRPr="00EA7144">
              <w:rPr>
                <w:rFonts w:ascii="Candara" w:hAnsi="Candara"/>
                <w:sz w:val="20"/>
                <w:szCs w:val="20"/>
              </w:rPr>
              <w:lastRenderedPageBreak/>
              <w:t>Submission process for Decline to Bill Form</w:t>
            </w:r>
          </w:p>
          <w:p w14:paraId="400BF587" w14:textId="77777777" w:rsidR="00A10F14" w:rsidRPr="00EA7144" w:rsidRDefault="00A10F14" w:rsidP="00A10F14">
            <w:pPr>
              <w:pStyle w:val="ListParagraph"/>
              <w:numPr>
                <w:ilvl w:val="0"/>
                <w:numId w:val="5"/>
              </w:numPr>
              <w:ind w:left="216" w:hanging="216"/>
              <w:rPr>
                <w:rFonts w:ascii="Candara" w:hAnsi="Candara"/>
                <w:sz w:val="20"/>
                <w:szCs w:val="20"/>
              </w:rPr>
            </w:pPr>
            <w:r w:rsidRPr="00EA7144">
              <w:rPr>
                <w:rFonts w:ascii="Candara" w:hAnsi="Candara"/>
                <w:sz w:val="20"/>
                <w:szCs w:val="20"/>
              </w:rPr>
              <w:lastRenderedPageBreak/>
              <w:t>Process for ensuring Claims Department is aware of Decline to Bill form</w:t>
            </w:r>
          </w:p>
          <w:p w14:paraId="25D70267" w14:textId="77777777" w:rsidR="00A10F14" w:rsidRPr="00EA7144" w:rsidRDefault="00A10F14" w:rsidP="00A10F14">
            <w:pPr>
              <w:pStyle w:val="ListParagraph"/>
              <w:numPr>
                <w:ilvl w:val="0"/>
                <w:numId w:val="5"/>
              </w:numPr>
              <w:ind w:left="216" w:hanging="216"/>
              <w:rPr>
                <w:rFonts w:ascii="Candara" w:hAnsi="Candara"/>
                <w:sz w:val="20"/>
                <w:szCs w:val="20"/>
              </w:rPr>
            </w:pPr>
            <w:r w:rsidRPr="00EA7144">
              <w:rPr>
                <w:rFonts w:ascii="Candara" w:hAnsi="Candara"/>
                <w:sz w:val="20"/>
                <w:szCs w:val="20"/>
              </w:rPr>
              <w:t>Process for handling claims when Decline to Bill is or the EOB are not on file</w:t>
            </w:r>
          </w:p>
        </w:tc>
        <w:tc>
          <w:tcPr>
            <w:tcW w:w="10530" w:type="dxa"/>
          </w:tcPr>
          <w:p w14:paraId="4483F266" w14:textId="77777777" w:rsidR="00A10F14" w:rsidRPr="00EA7144" w:rsidRDefault="00A10F14" w:rsidP="00EF15B9">
            <w:pPr>
              <w:rPr>
                <w:rFonts w:ascii="Candara" w:hAnsi="Candara"/>
                <w:sz w:val="20"/>
                <w:szCs w:val="20"/>
              </w:rPr>
            </w:pPr>
            <w:r w:rsidRPr="00EA7144">
              <w:rPr>
                <w:rFonts w:ascii="Candara" w:hAnsi="Candara"/>
                <w:sz w:val="20"/>
                <w:szCs w:val="20"/>
              </w:rPr>
              <w:lastRenderedPageBreak/>
              <w:t xml:space="preserve">Decline to Bill and EOB forms do not affect our care coordination efforts.  </w:t>
            </w:r>
          </w:p>
        </w:tc>
      </w:tr>
      <w:tr w:rsidR="00A10F14" w:rsidRPr="00EA7144" w14:paraId="1E1C886C" w14:textId="77777777" w:rsidTr="00EF15B9">
        <w:tc>
          <w:tcPr>
            <w:tcW w:w="1705" w:type="dxa"/>
          </w:tcPr>
          <w:p w14:paraId="643DC44B" w14:textId="77777777" w:rsidR="00A10F14" w:rsidRPr="00EA7144" w:rsidRDefault="00A10F14" w:rsidP="00EF15B9">
            <w:pPr>
              <w:rPr>
                <w:rFonts w:ascii="Candara" w:hAnsi="Candara"/>
                <w:sz w:val="20"/>
                <w:szCs w:val="20"/>
              </w:rPr>
            </w:pPr>
            <w:r w:rsidRPr="00EA7144">
              <w:rPr>
                <w:rFonts w:ascii="Candara" w:hAnsi="Candara"/>
                <w:sz w:val="20"/>
                <w:szCs w:val="20"/>
              </w:rPr>
              <w:t>EI Enrollment and Indicator</w:t>
            </w:r>
          </w:p>
        </w:tc>
        <w:tc>
          <w:tcPr>
            <w:tcW w:w="3330" w:type="dxa"/>
          </w:tcPr>
          <w:p w14:paraId="30A05E45" w14:textId="77777777" w:rsidR="00A10F14" w:rsidRPr="00EA7144" w:rsidRDefault="00A10F14" w:rsidP="00EF15B9">
            <w:pPr>
              <w:rPr>
                <w:rFonts w:ascii="Candara" w:hAnsi="Candara"/>
                <w:sz w:val="20"/>
                <w:szCs w:val="20"/>
              </w:rPr>
            </w:pPr>
            <w:r w:rsidRPr="00EA7144">
              <w:rPr>
                <w:rFonts w:ascii="Candara" w:hAnsi="Candara"/>
                <w:sz w:val="20"/>
                <w:szCs w:val="20"/>
              </w:rPr>
              <w:t xml:space="preserve">A child must have an EI indicator on the enrollment file in order for an EI service to be reimbursed. </w:t>
            </w:r>
          </w:p>
          <w:p w14:paraId="134D3B8F" w14:textId="77777777" w:rsidR="00A10F14" w:rsidRPr="00EA7144" w:rsidRDefault="00A10F14" w:rsidP="00EF15B9">
            <w:pPr>
              <w:rPr>
                <w:rFonts w:ascii="Candara" w:hAnsi="Candara"/>
                <w:sz w:val="20"/>
                <w:szCs w:val="20"/>
              </w:rPr>
            </w:pPr>
          </w:p>
          <w:p w14:paraId="14F2A329" w14:textId="77777777" w:rsidR="00A10F14" w:rsidRPr="00EA7144" w:rsidRDefault="00A10F14" w:rsidP="00EF15B9">
            <w:pPr>
              <w:rPr>
                <w:rFonts w:ascii="Candara" w:hAnsi="Candara"/>
                <w:sz w:val="20"/>
                <w:szCs w:val="20"/>
              </w:rPr>
            </w:pPr>
            <w:r w:rsidRPr="00EA7144">
              <w:rPr>
                <w:rFonts w:ascii="Candara" w:hAnsi="Candara"/>
                <w:sz w:val="20"/>
                <w:szCs w:val="20"/>
              </w:rPr>
              <w:t>Due to timing of the enrollment file, if the provider bills prior to the MCO receiving the file listing the child as having the EI indicator, the claim will deny due to “child not enrolled in the EI”.</w:t>
            </w:r>
            <w:r>
              <w:rPr>
                <w:rFonts w:ascii="Candara" w:hAnsi="Candara"/>
                <w:sz w:val="20"/>
                <w:szCs w:val="20"/>
              </w:rPr>
              <w:t xml:space="preserve"> </w:t>
            </w:r>
            <w:r w:rsidRPr="00EA7144">
              <w:rPr>
                <w:rFonts w:ascii="Candara" w:hAnsi="Candara"/>
                <w:sz w:val="20"/>
                <w:szCs w:val="20"/>
              </w:rPr>
              <w:t>This impacts submission of a clean claim.</w:t>
            </w:r>
          </w:p>
        </w:tc>
        <w:tc>
          <w:tcPr>
            <w:tcW w:w="3330" w:type="dxa"/>
          </w:tcPr>
          <w:p w14:paraId="3B6A16F0" w14:textId="77777777" w:rsidR="00A10F14" w:rsidRPr="00EA7144" w:rsidRDefault="00A10F14" w:rsidP="00A10F14">
            <w:pPr>
              <w:pStyle w:val="ListParagraph"/>
              <w:numPr>
                <w:ilvl w:val="0"/>
                <w:numId w:val="6"/>
              </w:numPr>
              <w:ind w:left="216" w:hanging="216"/>
              <w:rPr>
                <w:rFonts w:ascii="Candara" w:hAnsi="Candara"/>
                <w:sz w:val="20"/>
                <w:szCs w:val="20"/>
              </w:rPr>
            </w:pPr>
            <w:r w:rsidRPr="00EA7144">
              <w:rPr>
                <w:rFonts w:ascii="Candara" w:hAnsi="Candara"/>
                <w:sz w:val="20"/>
                <w:szCs w:val="20"/>
              </w:rPr>
              <w:t>Process to handle claims when the EI indicator is not on plan enrollment file</w:t>
            </w:r>
          </w:p>
        </w:tc>
        <w:tc>
          <w:tcPr>
            <w:tcW w:w="10530" w:type="dxa"/>
          </w:tcPr>
          <w:p w14:paraId="6FFED41E" w14:textId="77777777" w:rsidR="00A10F14" w:rsidRPr="00EA7144" w:rsidRDefault="00A10F14" w:rsidP="00EF15B9">
            <w:pPr>
              <w:rPr>
                <w:rFonts w:ascii="Candara" w:eastAsia="Times New Roman" w:hAnsi="Candara"/>
                <w:color w:val="000000"/>
                <w:sz w:val="20"/>
                <w:szCs w:val="20"/>
              </w:rPr>
            </w:pPr>
            <w:r w:rsidRPr="00EA7144">
              <w:rPr>
                <w:rFonts w:ascii="Candara" w:eastAsia="Times New Roman" w:hAnsi="Candara"/>
                <w:color w:val="000000"/>
                <w:sz w:val="20"/>
                <w:szCs w:val="20"/>
              </w:rPr>
              <w:t xml:space="preserve">All EI claims are processed as received by the system (auto-adjudication) EI Enrollment Indicator. </w:t>
            </w:r>
            <w:r w:rsidRPr="00EA7144">
              <w:rPr>
                <w:rFonts w:ascii="Candara" w:hAnsi="Candara" w:cs="Helvetica"/>
                <w:b/>
                <w:bCs/>
                <w:color w:val="FF0000"/>
                <w:sz w:val="20"/>
                <w:szCs w:val="20"/>
                <w:shd w:val="clear" w:color="auto" w:fill="FFFFFF"/>
              </w:rPr>
              <w:t> </w:t>
            </w:r>
            <w:r w:rsidRPr="00EA7144">
              <w:rPr>
                <w:rFonts w:ascii="Candara" w:hAnsi="Candara" w:cs="Helvetica"/>
                <w:bCs/>
                <w:color w:val="222222"/>
                <w:sz w:val="20"/>
                <w:szCs w:val="20"/>
                <w:shd w:val="clear" w:color="auto" w:fill="FFFFFF"/>
              </w:rPr>
              <w:t>Our claims system will utilize the members age (&lt; 3) to qualify them for EI services.</w:t>
            </w:r>
          </w:p>
        </w:tc>
      </w:tr>
      <w:tr w:rsidR="00A10F14" w:rsidRPr="00EA7144" w14:paraId="208ABA98" w14:textId="77777777" w:rsidTr="00EF15B9">
        <w:tc>
          <w:tcPr>
            <w:tcW w:w="1705" w:type="dxa"/>
          </w:tcPr>
          <w:p w14:paraId="47AA6516" w14:textId="77777777" w:rsidR="00A10F14" w:rsidRPr="00EA7144" w:rsidRDefault="00A10F14" w:rsidP="00EF15B9">
            <w:pPr>
              <w:rPr>
                <w:rFonts w:ascii="Candara" w:hAnsi="Candara"/>
                <w:sz w:val="20"/>
                <w:szCs w:val="20"/>
              </w:rPr>
            </w:pPr>
            <w:r w:rsidRPr="00EA7144">
              <w:rPr>
                <w:rFonts w:ascii="Candara" w:hAnsi="Candara"/>
                <w:sz w:val="20"/>
                <w:szCs w:val="20"/>
              </w:rPr>
              <w:t>Care Coordination</w:t>
            </w:r>
          </w:p>
        </w:tc>
        <w:tc>
          <w:tcPr>
            <w:tcW w:w="3330" w:type="dxa"/>
          </w:tcPr>
          <w:p w14:paraId="6EF4CC44" w14:textId="77777777" w:rsidR="00A10F14" w:rsidRPr="00EA7144" w:rsidRDefault="00A10F14" w:rsidP="00EF15B9">
            <w:pPr>
              <w:rPr>
                <w:rFonts w:ascii="Candara" w:hAnsi="Candara"/>
                <w:sz w:val="20"/>
                <w:szCs w:val="20"/>
              </w:rPr>
            </w:pPr>
            <w:r w:rsidRPr="00EA7144">
              <w:rPr>
                <w:rFonts w:ascii="Candara" w:hAnsi="Candara"/>
                <w:sz w:val="20"/>
                <w:szCs w:val="20"/>
              </w:rPr>
              <w:t>Plan care coordinators should collaborate with the EI Service Coordinator</w:t>
            </w:r>
          </w:p>
        </w:tc>
        <w:tc>
          <w:tcPr>
            <w:tcW w:w="3330" w:type="dxa"/>
          </w:tcPr>
          <w:p w14:paraId="404D2D49" w14:textId="77777777" w:rsidR="00A10F14" w:rsidRPr="00EA7144" w:rsidRDefault="00A10F14" w:rsidP="00A10F14">
            <w:pPr>
              <w:pStyle w:val="ListParagraph"/>
              <w:numPr>
                <w:ilvl w:val="0"/>
                <w:numId w:val="6"/>
              </w:numPr>
              <w:ind w:left="216" w:hanging="216"/>
              <w:rPr>
                <w:rFonts w:ascii="Candara" w:hAnsi="Candara"/>
                <w:sz w:val="20"/>
                <w:szCs w:val="20"/>
              </w:rPr>
            </w:pPr>
            <w:r w:rsidRPr="00EA7144">
              <w:rPr>
                <w:rFonts w:ascii="Candara" w:hAnsi="Candara"/>
                <w:sz w:val="20"/>
                <w:szCs w:val="20"/>
              </w:rPr>
              <w:t>Role of the care coordinator</w:t>
            </w:r>
          </w:p>
          <w:p w14:paraId="6BCF289A" w14:textId="77777777" w:rsidR="00A10F14" w:rsidRPr="00EA7144" w:rsidRDefault="00A10F14" w:rsidP="00A10F14">
            <w:pPr>
              <w:pStyle w:val="ListParagraph"/>
              <w:numPr>
                <w:ilvl w:val="0"/>
                <w:numId w:val="6"/>
              </w:numPr>
              <w:ind w:left="216" w:hanging="216"/>
              <w:rPr>
                <w:rFonts w:ascii="Candara" w:hAnsi="Candara"/>
                <w:sz w:val="20"/>
                <w:szCs w:val="20"/>
              </w:rPr>
            </w:pPr>
            <w:r w:rsidRPr="00EA7144">
              <w:rPr>
                <w:rFonts w:ascii="Candara" w:hAnsi="Candara"/>
                <w:sz w:val="20"/>
                <w:szCs w:val="20"/>
              </w:rPr>
              <w:t>Process for exchanging information between care coordinator and service coordinator</w:t>
            </w:r>
          </w:p>
          <w:p w14:paraId="0555890B" w14:textId="77777777" w:rsidR="00A10F14" w:rsidRPr="00EA7144" w:rsidRDefault="00A10F14" w:rsidP="00A10F14">
            <w:pPr>
              <w:pStyle w:val="ListParagraph"/>
              <w:numPr>
                <w:ilvl w:val="0"/>
                <w:numId w:val="6"/>
              </w:numPr>
              <w:ind w:left="216" w:hanging="216"/>
              <w:rPr>
                <w:rFonts w:ascii="Candara" w:hAnsi="Candara"/>
                <w:sz w:val="20"/>
                <w:szCs w:val="20"/>
              </w:rPr>
            </w:pPr>
            <w:r w:rsidRPr="00EA7144">
              <w:rPr>
                <w:rFonts w:ascii="Candara" w:hAnsi="Candara"/>
                <w:sz w:val="20"/>
                <w:szCs w:val="20"/>
              </w:rPr>
              <w:t>Frequency of contact between coordinators, i.e., timeframe for initial contact and ongoing contact</w:t>
            </w:r>
          </w:p>
        </w:tc>
        <w:tc>
          <w:tcPr>
            <w:tcW w:w="10530" w:type="dxa"/>
          </w:tcPr>
          <w:p w14:paraId="3D773075" w14:textId="77777777" w:rsidR="00A10F14" w:rsidRPr="00EA7144" w:rsidRDefault="00A10F14" w:rsidP="00EF15B9">
            <w:pPr>
              <w:rPr>
                <w:rFonts w:ascii="Candara" w:hAnsi="Candara"/>
                <w:sz w:val="20"/>
                <w:szCs w:val="20"/>
              </w:rPr>
            </w:pPr>
            <w:r w:rsidRPr="00EA7144">
              <w:rPr>
                <w:rFonts w:ascii="Candara" w:hAnsi="Candara"/>
                <w:sz w:val="20"/>
                <w:szCs w:val="20"/>
              </w:rPr>
              <w:t xml:space="preserve">VA Premier care coordinators facilitate ongoing collaboration between the service providers, the families, specialists and the plan.  Upon receipt of the IFSP, the care coordinator will review the IFSP for any needs and contact the service provider assigned.  The initial contact to the service provider will be within 5 days of receiving the IFSP providing contact information and to discuss available benefits for the family, family needs along with the frequency for ongoing contact to best meet the healthcare goals of the member.  The care coordinator will outreach the family with-in 14 days to offer the same support to the family directly.  </w:t>
            </w:r>
          </w:p>
        </w:tc>
      </w:tr>
      <w:tr w:rsidR="00A10F14" w:rsidRPr="00EA7144" w14:paraId="37FCA223" w14:textId="77777777" w:rsidTr="00EF15B9">
        <w:tc>
          <w:tcPr>
            <w:tcW w:w="1705" w:type="dxa"/>
          </w:tcPr>
          <w:p w14:paraId="052514A4" w14:textId="77777777" w:rsidR="00A10F14" w:rsidRPr="00EA7144" w:rsidRDefault="00A10F14" w:rsidP="00EF15B9">
            <w:pPr>
              <w:rPr>
                <w:rFonts w:ascii="Candara" w:hAnsi="Candara"/>
                <w:sz w:val="20"/>
                <w:szCs w:val="20"/>
              </w:rPr>
            </w:pPr>
            <w:r w:rsidRPr="00EA7144">
              <w:rPr>
                <w:rFonts w:ascii="Candara" w:hAnsi="Candara"/>
                <w:sz w:val="20"/>
                <w:szCs w:val="20"/>
              </w:rPr>
              <w:t>Interpreter and Translation Services</w:t>
            </w:r>
          </w:p>
        </w:tc>
        <w:tc>
          <w:tcPr>
            <w:tcW w:w="3330" w:type="dxa"/>
          </w:tcPr>
          <w:p w14:paraId="7A958CA0" w14:textId="77777777" w:rsidR="00A10F14" w:rsidRPr="00EA7144" w:rsidRDefault="00A10F14" w:rsidP="00EF15B9">
            <w:pPr>
              <w:rPr>
                <w:rFonts w:ascii="Candara" w:hAnsi="Candara"/>
                <w:sz w:val="20"/>
                <w:szCs w:val="20"/>
              </w:rPr>
            </w:pPr>
            <w:r w:rsidRPr="00EA7144">
              <w:rPr>
                <w:rFonts w:ascii="Candara" w:hAnsi="Candara"/>
                <w:sz w:val="20"/>
                <w:szCs w:val="20"/>
              </w:rPr>
              <w:t>Language assistance services, including but not limited to interpreter and translation services, are available free of charge.</w:t>
            </w:r>
          </w:p>
        </w:tc>
        <w:tc>
          <w:tcPr>
            <w:tcW w:w="3330" w:type="dxa"/>
          </w:tcPr>
          <w:p w14:paraId="5640C70A" w14:textId="77777777" w:rsidR="00A10F14" w:rsidRPr="00EA7144" w:rsidRDefault="00A10F14" w:rsidP="00A10F14">
            <w:pPr>
              <w:pStyle w:val="ListParagraph"/>
              <w:numPr>
                <w:ilvl w:val="0"/>
                <w:numId w:val="7"/>
              </w:numPr>
              <w:ind w:left="216" w:hanging="216"/>
              <w:rPr>
                <w:rFonts w:ascii="Candara" w:hAnsi="Candara"/>
                <w:sz w:val="20"/>
                <w:szCs w:val="20"/>
              </w:rPr>
            </w:pPr>
            <w:r w:rsidRPr="00EA7144">
              <w:rPr>
                <w:rFonts w:ascii="Candara" w:hAnsi="Candara"/>
                <w:sz w:val="20"/>
                <w:szCs w:val="20"/>
              </w:rPr>
              <w:t>Process for providers, service coordinators, and/or families to access interpreter/translation services</w:t>
            </w:r>
          </w:p>
          <w:p w14:paraId="0E20C0A6" w14:textId="77777777" w:rsidR="00A10F14" w:rsidRPr="00EA7144" w:rsidRDefault="00A10F14" w:rsidP="00A10F14">
            <w:pPr>
              <w:pStyle w:val="ListParagraph"/>
              <w:numPr>
                <w:ilvl w:val="0"/>
                <w:numId w:val="7"/>
              </w:numPr>
              <w:ind w:left="216" w:hanging="216"/>
              <w:rPr>
                <w:rFonts w:ascii="Candara" w:hAnsi="Candara"/>
                <w:sz w:val="20"/>
                <w:szCs w:val="20"/>
              </w:rPr>
            </w:pPr>
            <w:r w:rsidRPr="00EA7144">
              <w:rPr>
                <w:rFonts w:ascii="Candara" w:hAnsi="Candara"/>
                <w:sz w:val="20"/>
                <w:szCs w:val="20"/>
              </w:rPr>
              <w:t>Timeframe for accessing interpreter/translation services</w:t>
            </w:r>
          </w:p>
        </w:tc>
        <w:tc>
          <w:tcPr>
            <w:tcW w:w="10530" w:type="dxa"/>
          </w:tcPr>
          <w:p w14:paraId="198B5701" w14:textId="77777777" w:rsidR="00A10F14" w:rsidRPr="00EA7144" w:rsidRDefault="00A10F14" w:rsidP="00EF15B9">
            <w:pPr>
              <w:rPr>
                <w:rFonts w:ascii="Candara" w:hAnsi="Candara"/>
                <w:sz w:val="20"/>
                <w:szCs w:val="20"/>
              </w:rPr>
            </w:pPr>
            <w:r w:rsidRPr="00EA7144">
              <w:rPr>
                <w:rFonts w:ascii="Candara" w:hAnsi="Candara"/>
                <w:sz w:val="20"/>
                <w:szCs w:val="20"/>
              </w:rPr>
              <w:t xml:space="preserve">Virginia Premier provides telephonic interpretation services free of charge in 240 languages through a third-party interpretation vendor. We also employ an internal staff of bi-lingual agents to provide Spanish translation services in house as well as utilizing the Virginia Relay Service for Deaf and Hard of Hearing. Upon request, members are immediately conferenced in with an interpreter for their preferred language. The interpreter remains on the line with the member and Virginia Premier representative until all questions and concerns have been resolved.  Should follow up calls be needed, Virginia Premier representative would utilize translation services for all subsequent calls to ensure member’s requests are fully satisfied.   </w:t>
            </w:r>
            <w:r w:rsidRPr="00EA7144">
              <w:rPr>
                <w:rFonts w:ascii="Candara" w:eastAsia="Times New Roman" w:hAnsi="Candara" w:cs="Calibri"/>
                <w:bCs/>
                <w:color w:val="222222"/>
                <w:sz w:val="20"/>
                <w:szCs w:val="20"/>
              </w:rPr>
              <w:t>When it comes to interpreters/translators for actual appointments, CM is contacted by member services or provider to provide the Translation Request From to the provider and the provider submits to The Language Group for interpreter service request for </w:t>
            </w:r>
            <w:r w:rsidRPr="00EA7144">
              <w:rPr>
                <w:rFonts w:ascii="Candara" w:eastAsia="Times New Roman" w:hAnsi="Candara" w:cs="Calibri"/>
                <w:bCs/>
                <w:color w:val="222222"/>
                <w:sz w:val="20"/>
                <w:szCs w:val="20"/>
                <w:u w:val="single"/>
              </w:rPr>
              <w:t>in office only</w:t>
            </w:r>
            <w:r w:rsidRPr="00EA7144">
              <w:rPr>
                <w:rFonts w:ascii="Candara" w:eastAsia="Times New Roman" w:hAnsi="Candara" w:cs="Calibri"/>
                <w:bCs/>
                <w:color w:val="222222"/>
                <w:sz w:val="20"/>
                <w:szCs w:val="20"/>
              </w:rPr>
              <w:t>. We have a different process for Telehealth Interpreter request during the current Pandemic.</w:t>
            </w:r>
          </w:p>
          <w:p w14:paraId="11958BC5" w14:textId="77777777" w:rsidR="00A10F14" w:rsidRDefault="00A10F14" w:rsidP="00EF15B9">
            <w:pPr>
              <w:shd w:val="clear" w:color="auto" w:fill="FFFFFF"/>
              <w:rPr>
                <w:rFonts w:ascii="Candara" w:eastAsia="Times New Roman" w:hAnsi="Candara" w:cs="Calibri"/>
                <w:bCs/>
                <w:color w:val="222222"/>
                <w:sz w:val="20"/>
                <w:szCs w:val="20"/>
              </w:rPr>
            </w:pPr>
            <w:r w:rsidRPr="00EA7144">
              <w:rPr>
                <w:rFonts w:ascii="Candara" w:eastAsia="Times New Roman" w:hAnsi="Candara" w:cs="Calibri"/>
                <w:bCs/>
                <w:color w:val="222222"/>
                <w:sz w:val="20"/>
                <w:szCs w:val="20"/>
              </w:rPr>
              <w:lastRenderedPageBreak/>
              <w:t>Member Services owns the Language Line Process and will assist with providing the member an interpreter for Telehealth.</w:t>
            </w:r>
          </w:p>
          <w:p w14:paraId="311FC634" w14:textId="77777777" w:rsidR="00A10F14" w:rsidRPr="00E00B2A" w:rsidRDefault="00A10F14" w:rsidP="00EF15B9">
            <w:pPr>
              <w:tabs>
                <w:tab w:val="left" w:pos="90"/>
              </w:tabs>
              <w:rPr>
                <w:sz w:val="19"/>
                <w:szCs w:val="19"/>
                <w:u w:val="single"/>
              </w:rPr>
            </w:pPr>
            <w:r w:rsidRPr="00E00B2A">
              <w:rPr>
                <w:sz w:val="19"/>
                <w:szCs w:val="19"/>
                <w:u w:val="single"/>
              </w:rPr>
              <w:t>Interpreter Services:</w:t>
            </w:r>
          </w:p>
          <w:p w14:paraId="2B03973A" w14:textId="77777777" w:rsidR="00A10F14" w:rsidRDefault="00A10F14" w:rsidP="00EF15B9">
            <w:pPr>
              <w:tabs>
                <w:tab w:val="left" w:pos="90"/>
              </w:tabs>
              <w:rPr>
                <w:sz w:val="19"/>
                <w:szCs w:val="19"/>
              </w:rPr>
            </w:pPr>
            <w:r>
              <w:rPr>
                <w:sz w:val="19"/>
                <w:szCs w:val="19"/>
              </w:rPr>
              <w:t xml:space="preserve">The Language Group: </w:t>
            </w:r>
          </w:p>
          <w:p w14:paraId="43CD59D9" w14:textId="77777777" w:rsidR="00A10F14" w:rsidRPr="00EA7144" w:rsidRDefault="00A10F14" w:rsidP="00EF15B9">
            <w:pPr>
              <w:shd w:val="clear" w:color="auto" w:fill="FFFFFF"/>
              <w:rPr>
                <w:rFonts w:ascii="Candara" w:eastAsia="Times New Roman" w:hAnsi="Candara" w:cs="Calibri"/>
                <w:color w:val="222222"/>
                <w:sz w:val="20"/>
                <w:szCs w:val="20"/>
              </w:rPr>
            </w:pPr>
            <w:r>
              <w:rPr>
                <w:sz w:val="19"/>
                <w:szCs w:val="19"/>
              </w:rPr>
              <w:t>1-844-DIAL-SLL (1-844-342-5755)</w:t>
            </w:r>
          </w:p>
        </w:tc>
      </w:tr>
      <w:tr w:rsidR="00A10F14" w:rsidRPr="00EA7144" w14:paraId="4E7649DD" w14:textId="77777777" w:rsidTr="00EF15B9">
        <w:tc>
          <w:tcPr>
            <w:tcW w:w="1705" w:type="dxa"/>
          </w:tcPr>
          <w:p w14:paraId="71E4FD6A" w14:textId="77777777" w:rsidR="00A10F14" w:rsidRPr="00EA7144" w:rsidRDefault="00A10F14" w:rsidP="00EF15B9">
            <w:pPr>
              <w:rPr>
                <w:rFonts w:ascii="Candara" w:hAnsi="Candara"/>
                <w:sz w:val="20"/>
                <w:szCs w:val="20"/>
              </w:rPr>
            </w:pPr>
            <w:r w:rsidRPr="00EA7144">
              <w:rPr>
                <w:rFonts w:ascii="Candara" w:hAnsi="Candara"/>
                <w:sz w:val="20"/>
                <w:szCs w:val="20"/>
              </w:rPr>
              <w:lastRenderedPageBreak/>
              <w:t>EI Specific Email Box</w:t>
            </w:r>
          </w:p>
        </w:tc>
        <w:tc>
          <w:tcPr>
            <w:tcW w:w="3330" w:type="dxa"/>
          </w:tcPr>
          <w:p w14:paraId="78DAD081" w14:textId="77777777" w:rsidR="00A10F14" w:rsidRPr="00EA7144" w:rsidRDefault="00A10F14" w:rsidP="00EF15B9">
            <w:pPr>
              <w:rPr>
                <w:rFonts w:ascii="Candara" w:hAnsi="Candara"/>
                <w:sz w:val="20"/>
                <w:szCs w:val="20"/>
              </w:rPr>
            </w:pPr>
            <w:r w:rsidRPr="00EA7144">
              <w:rPr>
                <w:rFonts w:ascii="Candara" w:hAnsi="Candara"/>
                <w:sz w:val="20"/>
                <w:szCs w:val="20"/>
              </w:rPr>
              <w:t>Specific email contacts for submission of IFSPs, Decline to Bill Forms, etc.</w:t>
            </w:r>
          </w:p>
        </w:tc>
        <w:tc>
          <w:tcPr>
            <w:tcW w:w="3330" w:type="dxa"/>
          </w:tcPr>
          <w:p w14:paraId="7D7DCE95" w14:textId="77777777" w:rsidR="00A10F14" w:rsidRPr="00EA7144" w:rsidRDefault="00A10F14" w:rsidP="00A10F14">
            <w:pPr>
              <w:pStyle w:val="ListParagraph"/>
              <w:numPr>
                <w:ilvl w:val="0"/>
                <w:numId w:val="8"/>
              </w:numPr>
              <w:ind w:left="216" w:hanging="216"/>
              <w:rPr>
                <w:rFonts w:ascii="Candara" w:hAnsi="Candara"/>
                <w:sz w:val="20"/>
                <w:szCs w:val="20"/>
              </w:rPr>
            </w:pPr>
            <w:r w:rsidRPr="00EA7144">
              <w:rPr>
                <w:rFonts w:ascii="Candara" w:hAnsi="Candara"/>
                <w:sz w:val="20"/>
                <w:szCs w:val="20"/>
              </w:rPr>
              <w:t>List specific email address</w:t>
            </w:r>
          </w:p>
        </w:tc>
        <w:tc>
          <w:tcPr>
            <w:tcW w:w="10530" w:type="dxa"/>
          </w:tcPr>
          <w:p w14:paraId="5E6B35B8" w14:textId="77777777" w:rsidR="00A10F14" w:rsidRDefault="00A10F14" w:rsidP="00EF15B9">
            <w:pPr>
              <w:autoSpaceDE w:val="0"/>
              <w:autoSpaceDN w:val="0"/>
              <w:rPr>
                <w:rFonts w:ascii="Candara" w:hAnsi="Candara" w:cstheme="minorHAnsi"/>
                <w:sz w:val="20"/>
                <w:szCs w:val="20"/>
              </w:rPr>
            </w:pPr>
            <w:r w:rsidRPr="00EA7144">
              <w:rPr>
                <w:rFonts w:ascii="Candara" w:hAnsi="Candara" w:cstheme="minorHAnsi"/>
                <w:sz w:val="20"/>
                <w:szCs w:val="20"/>
              </w:rPr>
              <w:t>Please use this email for these reports…</w:t>
            </w:r>
            <w:r w:rsidRPr="00EB177D">
              <w:rPr>
                <w:rFonts w:ascii="Candara" w:hAnsi="Candara" w:cstheme="minorHAnsi"/>
                <w:sz w:val="20"/>
                <w:szCs w:val="20"/>
              </w:rPr>
              <w:t>DLA_ACL-MedallionCMReports@sentara.com</w:t>
            </w:r>
          </w:p>
          <w:p w14:paraId="51F8BCF8" w14:textId="77777777" w:rsidR="00A10F14" w:rsidRPr="00EA7144" w:rsidRDefault="00A10F14" w:rsidP="00EF15B9">
            <w:pPr>
              <w:autoSpaceDE w:val="0"/>
              <w:autoSpaceDN w:val="0"/>
              <w:rPr>
                <w:rFonts w:ascii="Candara" w:hAnsi="Candara" w:cstheme="minorHAnsi"/>
                <w:sz w:val="20"/>
                <w:szCs w:val="20"/>
              </w:rPr>
            </w:pPr>
            <w:r w:rsidRPr="00EA7144">
              <w:rPr>
                <w:rFonts w:ascii="Candara" w:hAnsi="Candara" w:cstheme="minorHAnsi"/>
                <w:sz w:val="20"/>
                <w:szCs w:val="20"/>
              </w:rPr>
              <w:t xml:space="preserve"> </w:t>
            </w:r>
          </w:p>
        </w:tc>
      </w:tr>
    </w:tbl>
    <w:p w14:paraId="2AFC7FF9" w14:textId="77777777" w:rsidR="00A10F14" w:rsidRDefault="00A10F14" w:rsidP="00A10F14"/>
    <w:p w14:paraId="6F4FDC69" w14:textId="77777777" w:rsidR="00A10F14" w:rsidRPr="00A10F14" w:rsidRDefault="00A10F14" w:rsidP="00A10F14">
      <w:pPr>
        <w:tabs>
          <w:tab w:val="left" w:pos="2004"/>
        </w:tabs>
        <w:rPr>
          <w:rFonts w:cstheme="minorHAnsi"/>
        </w:rPr>
      </w:pPr>
      <w:r w:rsidRPr="00A10F14">
        <w:rPr>
          <w:rFonts w:cstheme="minorHAnsi"/>
        </w:rPr>
        <w:tab/>
      </w:r>
    </w:p>
    <w:p w14:paraId="54C6565D" w14:textId="77777777" w:rsidR="00A10F14" w:rsidRPr="00A10F14" w:rsidRDefault="00A10F14" w:rsidP="00A10F14">
      <w:pPr>
        <w:rPr>
          <w:rFonts w:cstheme="minorHAnsi"/>
        </w:rPr>
      </w:pPr>
    </w:p>
    <w:p w14:paraId="03C3E833" w14:textId="77777777" w:rsidR="00A10F14" w:rsidRPr="00ED1BAA" w:rsidRDefault="00A10F14">
      <w:pPr>
        <w:rPr>
          <w:rFonts w:cstheme="minorHAnsi"/>
        </w:rPr>
      </w:pPr>
    </w:p>
    <w:sectPr w:rsidR="00A10F14" w:rsidRPr="00ED1BAA" w:rsidSect="00D72D84">
      <w:headerReference w:type="default" r:id="rId41"/>
      <w:footerReference w:type="default" r:id="rId4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EA47" w14:textId="77777777" w:rsidR="00D72D84" w:rsidRDefault="00D72D84" w:rsidP="004466C6">
      <w:pPr>
        <w:spacing w:after="0" w:line="240" w:lineRule="auto"/>
      </w:pPr>
      <w:r>
        <w:separator/>
      </w:r>
    </w:p>
  </w:endnote>
  <w:endnote w:type="continuationSeparator" w:id="0">
    <w:p w14:paraId="1613F203" w14:textId="77777777" w:rsidR="00D72D84" w:rsidRDefault="00D72D84" w:rsidP="0044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97E8" w14:textId="56B26C49" w:rsidR="004466C6" w:rsidRDefault="004466C6">
    <w:pPr>
      <w:pStyle w:val="Footer"/>
    </w:pPr>
    <w:r>
      <w:rPr>
        <w:noProof/>
      </w:rPr>
      <mc:AlternateContent>
        <mc:Choice Requires="wps">
          <w:drawing>
            <wp:anchor distT="0" distB="0" distL="114300" distR="114300" simplePos="0" relativeHeight="251659264" behindDoc="0" locked="0" layoutInCell="0" allowOverlap="1" wp14:anchorId="776163E9" wp14:editId="6E42C78B">
              <wp:simplePos x="0" y="0"/>
              <wp:positionH relativeFrom="page">
                <wp:posOffset>0</wp:posOffset>
              </wp:positionH>
              <wp:positionV relativeFrom="page">
                <wp:posOffset>7315200</wp:posOffset>
              </wp:positionV>
              <wp:extent cx="12801600" cy="266700"/>
              <wp:effectExtent l="0" t="0" r="0" b="0"/>
              <wp:wrapNone/>
              <wp:docPr id="1" name="MSIPCM0de745818cae41c643a41b49" descr="{&quot;HashCode&quot;:-356254672,&quot;Height&quot;:612.0,&quot;Width&quot;:1008.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8016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E20E6" w14:textId="63A1A81C" w:rsidR="004466C6" w:rsidRPr="003938CE" w:rsidRDefault="004466C6" w:rsidP="004466C6">
                          <w:pPr>
                            <w:spacing w:after="0"/>
                            <w:rPr>
                              <w:rFonts w:ascii="Calibri" w:hAnsi="Calibri" w:cs="Calibri"/>
                              <w:color w:val="414141"/>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6163E9" id="_x0000_t202" coordsize="21600,21600" o:spt="202" path="m,l,21600r21600,l21600,xe">
              <v:stroke joinstyle="miter"/>
              <v:path gradientshapeok="t" o:connecttype="rect"/>
            </v:shapetype>
            <v:shape id="MSIPCM0de745818cae41c643a41b49" o:spid="_x0000_s1026" type="#_x0000_t202" alt="{&quot;HashCode&quot;:-356254672,&quot;Height&quot;:612.0,&quot;Width&quot;:1008.0,&quot;Placement&quot;:&quot;Footer&quot;,&quot;Index&quot;:&quot;Primary&quot;,&quot;Section&quot;:1,&quot;Top&quot;:0.0,&quot;Left&quot;:0.0}" style="position:absolute;margin-left:0;margin-top:8in;width:14in;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" o:allowincell="f" filled="f" stroked="f" strokeweight=".5pt">
              <v:textbox inset="20pt,0,,0">
                <w:txbxContent>
                  <w:p w14:paraId="12EE20E6" w14:textId="63A1A81C" w:rsidR="004466C6" w:rsidRPr="003938CE" w:rsidRDefault="004466C6" w:rsidP="004466C6">
                    <w:pPr>
                      <w:spacing w:after="0"/>
                      <w:rPr>
                        <w:rFonts w:ascii="Calibri" w:hAnsi="Calibri" w:cs="Calibri"/>
                        <w:color w:val="414141"/>
                      </w:rPr>
                    </w:pPr>
                  </w:p>
                </w:txbxContent>
              </v:textbox>
              <w10:wrap anchorx="page" anchory="page"/>
            </v:shape>
          </w:pict>
        </mc:Fallback>
      </mc:AlternateContent>
    </w:r>
    <w:r w:rsidR="00E10712">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C1AF" w14:textId="77777777" w:rsidR="00D72D84" w:rsidRDefault="00D72D84" w:rsidP="004466C6">
      <w:pPr>
        <w:spacing w:after="0" w:line="240" w:lineRule="auto"/>
      </w:pPr>
      <w:r>
        <w:separator/>
      </w:r>
    </w:p>
  </w:footnote>
  <w:footnote w:type="continuationSeparator" w:id="0">
    <w:p w14:paraId="70FE3098" w14:textId="77777777" w:rsidR="00D72D84" w:rsidRDefault="00D72D84" w:rsidP="0044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047CEDDB" w14:textId="70AAFFBE" w:rsidR="00FD7593" w:rsidRDefault="00FD759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23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233">
          <w:rPr>
            <w:b/>
            <w:bCs/>
            <w:noProof/>
          </w:rPr>
          <w:t>22</w:t>
        </w:r>
        <w:r>
          <w:rPr>
            <w:b/>
            <w:bCs/>
            <w:sz w:val="24"/>
            <w:szCs w:val="24"/>
          </w:rPr>
          <w:fldChar w:fldCharType="end"/>
        </w:r>
      </w:p>
    </w:sdtContent>
  </w:sdt>
  <w:p w14:paraId="51B32CF0" w14:textId="77777777" w:rsidR="00FD7593" w:rsidRDefault="00FD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6C7"/>
    <w:multiLevelType w:val="hybridMultilevel"/>
    <w:tmpl w:val="CB46C41C"/>
    <w:lvl w:ilvl="0" w:tplc="15B8ACEE">
      <w:numFmt w:val="bullet"/>
      <w:lvlText w:val="-"/>
      <w:lvlJc w:val="left"/>
      <w:pPr>
        <w:ind w:left="2520" w:hanging="360"/>
      </w:pPr>
      <w:rPr>
        <w:rFonts w:ascii="Calibri" w:eastAsia="Calibr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098442D2"/>
    <w:multiLevelType w:val="hybridMultilevel"/>
    <w:tmpl w:val="8758E1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496B4F"/>
    <w:multiLevelType w:val="hybridMultilevel"/>
    <w:tmpl w:val="2AB0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25E40"/>
    <w:multiLevelType w:val="hybridMultilevel"/>
    <w:tmpl w:val="F834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A1EF2"/>
    <w:multiLevelType w:val="hybridMultilevel"/>
    <w:tmpl w:val="BD80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F748B"/>
    <w:multiLevelType w:val="hybridMultilevel"/>
    <w:tmpl w:val="8076A3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ED328C"/>
    <w:multiLevelType w:val="hybridMultilevel"/>
    <w:tmpl w:val="B85E802A"/>
    <w:lvl w:ilvl="0" w:tplc="2F4AA01E">
      <w:start w:val="1"/>
      <w:numFmt w:val="bullet"/>
      <w:lvlText w:val=""/>
      <w:lvlJc w:val="left"/>
      <w:pPr>
        <w:ind w:left="720"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D2562"/>
    <w:multiLevelType w:val="hybridMultilevel"/>
    <w:tmpl w:val="D2D0057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35B36"/>
    <w:multiLevelType w:val="hybridMultilevel"/>
    <w:tmpl w:val="40D82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51A2F"/>
    <w:multiLevelType w:val="hybridMultilevel"/>
    <w:tmpl w:val="75969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064E2"/>
    <w:multiLevelType w:val="hybridMultilevel"/>
    <w:tmpl w:val="805A6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53E3C"/>
    <w:multiLevelType w:val="hybridMultilevel"/>
    <w:tmpl w:val="98D00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559C7"/>
    <w:multiLevelType w:val="hybridMultilevel"/>
    <w:tmpl w:val="BFDC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A76A5"/>
    <w:multiLevelType w:val="hybridMultilevel"/>
    <w:tmpl w:val="95BCE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42760"/>
    <w:multiLevelType w:val="hybridMultilevel"/>
    <w:tmpl w:val="E0DA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63FDE"/>
    <w:multiLevelType w:val="hybridMultilevel"/>
    <w:tmpl w:val="CBBC7B30"/>
    <w:lvl w:ilvl="0" w:tplc="64908780">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30DCB"/>
    <w:multiLevelType w:val="hybridMultilevel"/>
    <w:tmpl w:val="9992E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F106C"/>
    <w:multiLevelType w:val="hybridMultilevel"/>
    <w:tmpl w:val="5566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97883"/>
    <w:multiLevelType w:val="hybridMultilevel"/>
    <w:tmpl w:val="330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E3109"/>
    <w:multiLevelType w:val="hybridMultilevel"/>
    <w:tmpl w:val="E27E7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F51D1"/>
    <w:multiLevelType w:val="hybridMultilevel"/>
    <w:tmpl w:val="191E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168490">
    <w:abstractNumId w:val="20"/>
  </w:num>
  <w:num w:numId="2" w16cid:durableId="1042510574">
    <w:abstractNumId w:val="6"/>
  </w:num>
  <w:num w:numId="3" w16cid:durableId="1399745334">
    <w:abstractNumId w:val="13"/>
  </w:num>
  <w:num w:numId="4" w16cid:durableId="1566914863">
    <w:abstractNumId w:val="19"/>
  </w:num>
  <w:num w:numId="5" w16cid:durableId="861935986">
    <w:abstractNumId w:val="16"/>
  </w:num>
  <w:num w:numId="6" w16cid:durableId="1014649915">
    <w:abstractNumId w:val="10"/>
  </w:num>
  <w:num w:numId="7" w16cid:durableId="1912501467">
    <w:abstractNumId w:val="9"/>
  </w:num>
  <w:num w:numId="8" w16cid:durableId="1364135081">
    <w:abstractNumId w:val="11"/>
  </w:num>
  <w:num w:numId="9" w16cid:durableId="1294021847">
    <w:abstractNumId w:val="0"/>
  </w:num>
  <w:num w:numId="10" w16cid:durableId="1588077827">
    <w:abstractNumId w:val="4"/>
  </w:num>
  <w:num w:numId="11" w16cid:durableId="1081634702">
    <w:abstractNumId w:val="7"/>
  </w:num>
  <w:num w:numId="12" w16cid:durableId="1002512285">
    <w:abstractNumId w:val="18"/>
  </w:num>
  <w:num w:numId="13" w16cid:durableId="85656617">
    <w:abstractNumId w:val="14"/>
  </w:num>
  <w:num w:numId="14" w16cid:durableId="1205171937">
    <w:abstractNumId w:val="3"/>
  </w:num>
  <w:num w:numId="15" w16cid:durableId="1883785529">
    <w:abstractNumId w:val="15"/>
  </w:num>
  <w:num w:numId="16" w16cid:durableId="1927689347">
    <w:abstractNumId w:val="8"/>
  </w:num>
  <w:num w:numId="17" w16cid:durableId="1287004788">
    <w:abstractNumId w:val="5"/>
  </w:num>
  <w:num w:numId="18" w16cid:durableId="211550565">
    <w:abstractNumId w:val="2"/>
  </w:num>
  <w:num w:numId="19" w16cid:durableId="51970442">
    <w:abstractNumId w:val="17"/>
  </w:num>
  <w:num w:numId="20" w16cid:durableId="1673215925">
    <w:abstractNumId w:val="1"/>
  </w:num>
  <w:num w:numId="21" w16cid:durableId="13582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BE"/>
    <w:rsid w:val="0000246D"/>
    <w:rsid w:val="0004567C"/>
    <w:rsid w:val="0006686F"/>
    <w:rsid w:val="000D7726"/>
    <w:rsid w:val="00100251"/>
    <w:rsid w:val="0011179C"/>
    <w:rsid w:val="00122922"/>
    <w:rsid w:val="00127C07"/>
    <w:rsid w:val="00131BF7"/>
    <w:rsid w:val="0018445F"/>
    <w:rsid w:val="001C030E"/>
    <w:rsid w:val="00207E52"/>
    <w:rsid w:val="00215A4D"/>
    <w:rsid w:val="00224EBE"/>
    <w:rsid w:val="00247A40"/>
    <w:rsid w:val="00253F85"/>
    <w:rsid w:val="002541B5"/>
    <w:rsid w:val="0026262A"/>
    <w:rsid w:val="002D4379"/>
    <w:rsid w:val="002D517C"/>
    <w:rsid w:val="003333B3"/>
    <w:rsid w:val="0039194A"/>
    <w:rsid w:val="003938CE"/>
    <w:rsid w:val="003A07AC"/>
    <w:rsid w:val="003A3DA9"/>
    <w:rsid w:val="003B6463"/>
    <w:rsid w:val="00425D1C"/>
    <w:rsid w:val="004337A8"/>
    <w:rsid w:val="004466C6"/>
    <w:rsid w:val="00473E07"/>
    <w:rsid w:val="00495BD2"/>
    <w:rsid w:val="004A0484"/>
    <w:rsid w:val="004A5CD5"/>
    <w:rsid w:val="004B64D8"/>
    <w:rsid w:val="004C033F"/>
    <w:rsid w:val="004E3E62"/>
    <w:rsid w:val="00507770"/>
    <w:rsid w:val="005077E5"/>
    <w:rsid w:val="00520A76"/>
    <w:rsid w:val="00563090"/>
    <w:rsid w:val="00583459"/>
    <w:rsid w:val="005B46EE"/>
    <w:rsid w:val="005D25CE"/>
    <w:rsid w:val="005E092B"/>
    <w:rsid w:val="00615685"/>
    <w:rsid w:val="006C345B"/>
    <w:rsid w:val="006D4A8A"/>
    <w:rsid w:val="006D7F6E"/>
    <w:rsid w:val="00706B43"/>
    <w:rsid w:val="00732191"/>
    <w:rsid w:val="007646B5"/>
    <w:rsid w:val="00766DA9"/>
    <w:rsid w:val="007A2233"/>
    <w:rsid w:val="007E6C18"/>
    <w:rsid w:val="008242CC"/>
    <w:rsid w:val="008377A0"/>
    <w:rsid w:val="00840F4A"/>
    <w:rsid w:val="00866A70"/>
    <w:rsid w:val="00883F0B"/>
    <w:rsid w:val="00894D0F"/>
    <w:rsid w:val="008C0194"/>
    <w:rsid w:val="00924005"/>
    <w:rsid w:val="00A10F14"/>
    <w:rsid w:val="00A62311"/>
    <w:rsid w:val="00AB2E00"/>
    <w:rsid w:val="00AC3789"/>
    <w:rsid w:val="00B1288F"/>
    <w:rsid w:val="00B55777"/>
    <w:rsid w:val="00B819EA"/>
    <w:rsid w:val="00B838D4"/>
    <w:rsid w:val="00BB1E64"/>
    <w:rsid w:val="00BC418A"/>
    <w:rsid w:val="00BD19D9"/>
    <w:rsid w:val="00C0496D"/>
    <w:rsid w:val="00C05B66"/>
    <w:rsid w:val="00C14CF0"/>
    <w:rsid w:val="00C60832"/>
    <w:rsid w:val="00C9234D"/>
    <w:rsid w:val="00D1740E"/>
    <w:rsid w:val="00D57D0D"/>
    <w:rsid w:val="00D72D84"/>
    <w:rsid w:val="00D94E48"/>
    <w:rsid w:val="00DC26CE"/>
    <w:rsid w:val="00E10712"/>
    <w:rsid w:val="00E20C14"/>
    <w:rsid w:val="00E30581"/>
    <w:rsid w:val="00E361A5"/>
    <w:rsid w:val="00E62622"/>
    <w:rsid w:val="00E70D33"/>
    <w:rsid w:val="00ED1BAA"/>
    <w:rsid w:val="00EF1FB4"/>
    <w:rsid w:val="00F070AF"/>
    <w:rsid w:val="00F17B57"/>
    <w:rsid w:val="00F34DC4"/>
    <w:rsid w:val="00F61B3B"/>
    <w:rsid w:val="00FC5D52"/>
    <w:rsid w:val="00FD4EF9"/>
    <w:rsid w:val="00FD7593"/>
    <w:rsid w:val="00FF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6FAF0"/>
  <w15:chartTrackingRefBased/>
  <w15:docId w15:val="{5B101A78-F1E6-431A-BBE4-7B7237E2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A4D"/>
    <w:pPr>
      <w:ind w:left="720"/>
      <w:contextualSpacing/>
    </w:pPr>
  </w:style>
  <w:style w:type="character" w:styleId="Hyperlink">
    <w:name w:val="Hyperlink"/>
    <w:basedOn w:val="DefaultParagraphFont"/>
    <w:uiPriority w:val="99"/>
    <w:unhideWhenUsed/>
    <w:rsid w:val="00894D0F"/>
    <w:rPr>
      <w:color w:val="0563C1" w:themeColor="hyperlink"/>
      <w:u w:val="single"/>
    </w:rPr>
  </w:style>
  <w:style w:type="character" w:customStyle="1" w:styleId="UnresolvedMention1">
    <w:name w:val="Unresolved Mention1"/>
    <w:basedOn w:val="DefaultParagraphFont"/>
    <w:uiPriority w:val="99"/>
    <w:semiHidden/>
    <w:unhideWhenUsed/>
    <w:rsid w:val="00894D0F"/>
    <w:rPr>
      <w:color w:val="605E5C"/>
      <w:shd w:val="clear" w:color="auto" w:fill="E1DFDD"/>
    </w:rPr>
  </w:style>
  <w:style w:type="paragraph" w:styleId="Header">
    <w:name w:val="header"/>
    <w:basedOn w:val="Normal"/>
    <w:link w:val="HeaderChar"/>
    <w:uiPriority w:val="99"/>
    <w:unhideWhenUsed/>
    <w:rsid w:val="0044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C6"/>
  </w:style>
  <w:style w:type="paragraph" w:styleId="Footer">
    <w:name w:val="footer"/>
    <w:basedOn w:val="Normal"/>
    <w:link w:val="FooterChar"/>
    <w:uiPriority w:val="99"/>
    <w:unhideWhenUsed/>
    <w:rsid w:val="0044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arlyInterventionServicesSupport@anthem.com" TargetMode="External"/><Relationship Id="rId18" Type="http://schemas.openxmlformats.org/officeDocument/2006/relationships/hyperlink" Target="mailto:EarlyInterventionServicesSupport@anthem.com" TargetMode="External"/><Relationship Id="rId26" Type="http://schemas.openxmlformats.org/officeDocument/2006/relationships/hyperlink" Target="mailto:highriskpeds@sentara.com" TargetMode="External"/><Relationship Id="rId39" Type="http://schemas.openxmlformats.org/officeDocument/2006/relationships/image" Target="media/image9.png"/><Relationship Id="rId21" Type="http://schemas.openxmlformats.org/officeDocument/2006/relationships/image" Target="media/image3.png"/><Relationship Id="rId34" Type="http://schemas.openxmlformats.org/officeDocument/2006/relationships/image" Target="media/image8.emf"/><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EarlyInterventionServicesSupport@anthem.com" TargetMode="External"/><Relationship Id="rId20" Type="http://schemas.openxmlformats.org/officeDocument/2006/relationships/hyperlink" Target="mailto:EarlyInterventionServicesSupport@anthem.com" TargetMode="External"/><Relationship Id="rId29" Type="http://schemas.openxmlformats.org/officeDocument/2006/relationships/hyperlink" Target="https://www.uhcprovider.com/en/resource-library/Join-Our-Network.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mailto:germaine.edwards@molinahealthcare.com" TargetMode="External"/><Relationship Id="rId32" Type="http://schemas.openxmlformats.org/officeDocument/2006/relationships/image" Target="media/image7.emf"/><Relationship Id="rId37" Type="http://schemas.openxmlformats.org/officeDocument/2006/relationships/hyperlink" Target="https://www.providerexpress.com/content/dam/ope-provexpr/us/pdfs/ourNetworkMain/jon/ProvGuide-CredApp.pdf" TargetMode="External"/><Relationship Id="rId40" Type="http://schemas.openxmlformats.org/officeDocument/2006/relationships/hyperlink" Target="mailto:DLA_ACL-MedallionCMReports@sentara.com" TargetMode="External"/><Relationship Id="rId5" Type="http://schemas.openxmlformats.org/officeDocument/2006/relationships/footnotes" Target="footnotes.xml"/><Relationship Id="rId15" Type="http://schemas.openxmlformats.org/officeDocument/2006/relationships/hyperlink" Target="mailto:EarlyinterventionServicesSupport@anthem.com" TargetMode="External"/><Relationship Id="rId23" Type="http://schemas.openxmlformats.org/officeDocument/2006/relationships/hyperlink" Target="mailto:MCCVA-Provider@molinahealthcare.com" TargetMode="External"/><Relationship Id="rId28" Type="http://schemas.openxmlformats.org/officeDocument/2006/relationships/image" Target="media/image5.jpeg"/><Relationship Id="rId36" Type="http://schemas.openxmlformats.org/officeDocument/2006/relationships/hyperlink" Target="https://www.providerexpress.com/content/ope-provexpr/us/en/our-network/jon.html" TargetMode="External"/><Relationship Id="rId10" Type="http://schemas.openxmlformats.org/officeDocument/2006/relationships/hyperlink" Target="mailto:Earlyinterventionservices@aetna.com" TargetMode="External"/><Relationship Id="rId19" Type="http://schemas.openxmlformats.org/officeDocument/2006/relationships/hyperlink" Target="mailto:bernard.christmas@anthem.com" TargetMode="External"/><Relationship Id="rId31" Type="http://schemas.openxmlformats.org/officeDocument/2006/relationships/oleObject" Target="embeddings/oleObject1.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arlyinterventionservices@aetna.com" TargetMode="External"/><Relationship Id="rId14" Type="http://schemas.openxmlformats.org/officeDocument/2006/relationships/hyperlink" Target="mailto:bernard.christmas@anthem.com" TargetMode="External"/><Relationship Id="rId22" Type="http://schemas.openxmlformats.org/officeDocument/2006/relationships/hyperlink" Target="https://www.molinahealthcare.com/providers/va/medicaid/resources/forms.aspx" TargetMode="External"/><Relationship Id="rId27" Type="http://schemas.openxmlformats.org/officeDocument/2006/relationships/hyperlink" Target="mailto:languagehelp@sentara.com" TargetMode="External"/><Relationship Id="rId30" Type="http://schemas.openxmlformats.org/officeDocument/2006/relationships/image" Target="media/image6.emf"/><Relationship Id="rId35" Type="http://schemas.openxmlformats.org/officeDocument/2006/relationships/oleObject" Target="embeddings/oleObject3.bin"/><Relationship Id="rId43" Type="http://schemas.openxmlformats.org/officeDocument/2006/relationships/fontTable" Target="fontTable.xml"/><Relationship Id="rId8" Type="http://schemas.openxmlformats.org/officeDocument/2006/relationships/hyperlink" Target="https://www.aetnabetterhealth.com/virginia/providers/join-our-network/" TargetMode="External"/><Relationship Id="rId3" Type="http://schemas.openxmlformats.org/officeDocument/2006/relationships/settings" Target="settings.xml"/><Relationship Id="rId12" Type="http://schemas.openxmlformats.org/officeDocument/2006/relationships/hyperlink" Target="mailto:EarlyinterventionServicesSupport@anthem.com" TargetMode="External"/><Relationship Id="rId17" Type="http://schemas.openxmlformats.org/officeDocument/2006/relationships/hyperlink" Target="mailto:bernard.christmas@anthem.com" TargetMode="External"/><Relationship Id="rId25" Type="http://schemas.openxmlformats.org/officeDocument/2006/relationships/image" Target="media/image4.jpg"/><Relationship Id="rId33" Type="http://schemas.openxmlformats.org/officeDocument/2006/relationships/oleObject" Target="embeddings/oleObject2.bin"/><Relationship Id="rId38" Type="http://schemas.openxmlformats.org/officeDocument/2006/relationships/hyperlink" Target="mailto:va_hcbs_pr@u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8800</Words>
  <Characters>50161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Myrick, Kimberli (DMAS)</cp:lastModifiedBy>
  <cp:revision>6</cp:revision>
  <cp:lastPrinted>2023-02-24T14:13:00Z</cp:lastPrinted>
  <dcterms:created xsi:type="dcterms:W3CDTF">2023-02-24T14:15:00Z</dcterms:created>
  <dcterms:modified xsi:type="dcterms:W3CDTF">2024-05-17T13:38:00Z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2021-04-06T14:06:55Z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
  </property>
  <property fmtid="{D5CDD505-2E9C-101B-9397-08002B2CF9AE}" pid="8" name="MSIP_Label_67599526-06ca-49cc-9fa9-5307800a949a_ContentBits">
    <vt:lpwstr>0</vt:lpwstr>
  </property>
</Properties>
</file>