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D3C1" w14:textId="0A84D2B3" w:rsidR="007C1A48" w:rsidRDefault="007C1A48" w:rsidP="00FD6B6D">
      <w:pPr>
        <w:pStyle w:val="Heading5"/>
        <w:numPr>
          <w:ilvl w:val="0"/>
          <w:numId w:val="0"/>
        </w:numPr>
      </w:pPr>
      <w:bookmarkStart w:id="0" w:name="_Toc172891740"/>
      <w:r>
        <w:t xml:space="preserve">POSM Protocol </w:t>
      </w:r>
      <w:r w:rsidR="00E151AB">
        <w:t>R1</w:t>
      </w:r>
      <w:r>
        <w:t>-0</w:t>
      </w:r>
      <w:r w:rsidR="20A622D9">
        <w:t>2</w:t>
      </w:r>
      <w:r>
        <w:t>: Service Delivery</w:t>
      </w:r>
      <w:bookmarkEnd w:id="0"/>
    </w:p>
    <w:p w14:paraId="0023BD45" w14:textId="77777777" w:rsidR="00765B94" w:rsidRDefault="00765B94" w:rsidP="00476CD7"/>
    <w:tbl>
      <w:tblPr>
        <w:tblStyle w:val="TableGrid"/>
        <w:tblW w:w="9360" w:type="dxa"/>
        <w:tblCellMar>
          <w:top w:w="72" w:type="dxa"/>
          <w:left w:w="72" w:type="dxa"/>
          <w:bottom w:w="72" w:type="dxa"/>
          <w:right w:w="72" w:type="dxa"/>
        </w:tblCellMar>
        <w:tblLook w:val="04A0" w:firstRow="1" w:lastRow="0" w:firstColumn="1" w:lastColumn="0" w:noHBand="0" w:noVBand="1"/>
      </w:tblPr>
      <w:tblGrid>
        <w:gridCol w:w="2448"/>
        <w:gridCol w:w="6912"/>
      </w:tblGrid>
      <w:tr w:rsidR="007C1A48" w:rsidRPr="00144CC1" w14:paraId="05B73C0B" w14:textId="77777777" w:rsidTr="00DE1B3C">
        <w:trPr>
          <w:trHeight w:val="300"/>
        </w:trPr>
        <w:tc>
          <w:tcPr>
            <w:tcW w:w="2448" w:type="dxa"/>
          </w:tcPr>
          <w:p w14:paraId="1171EF73" w14:textId="5529F7A9" w:rsidR="007C1A48" w:rsidRPr="00144CC1" w:rsidRDefault="00E91D17" w:rsidP="006A02D1">
            <w:pPr>
              <w:contextualSpacing/>
            </w:pPr>
            <w:r>
              <w:t>Category</w:t>
            </w:r>
          </w:p>
        </w:tc>
        <w:tc>
          <w:tcPr>
            <w:tcW w:w="6912" w:type="dxa"/>
          </w:tcPr>
          <w:p w14:paraId="5AFBB763" w14:textId="7362B008" w:rsidR="007C1A48" w:rsidRPr="00E151AB" w:rsidRDefault="00DB6E8A" w:rsidP="006A02D1">
            <w:pPr>
              <w:contextualSpacing/>
            </w:pPr>
            <w:r>
              <w:t>Child and Family Outcomes</w:t>
            </w:r>
          </w:p>
        </w:tc>
      </w:tr>
      <w:tr w:rsidR="00BC2200" w:rsidRPr="00144CC1" w14:paraId="475AE35E" w14:textId="77777777" w:rsidTr="00DE1B3C">
        <w:trPr>
          <w:trHeight w:val="300"/>
        </w:trPr>
        <w:tc>
          <w:tcPr>
            <w:tcW w:w="2448" w:type="dxa"/>
          </w:tcPr>
          <w:p w14:paraId="2E955AC7" w14:textId="721B545D" w:rsidR="00BC2200" w:rsidRDefault="00BC2200" w:rsidP="006A02D1">
            <w:pPr>
              <w:contextualSpacing/>
            </w:pPr>
            <w:r>
              <w:t>Purpose</w:t>
            </w:r>
          </w:p>
        </w:tc>
        <w:tc>
          <w:tcPr>
            <w:tcW w:w="6912" w:type="dxa"/>
          </w:tcPr>
          <w:p w14:paraId="32C84063" w14:textId="64FE04FE" w:rsidR="00BC2200" w:rsidRDefault="005F1475" w:rsidP="006A02D1">
            <w:pPr>
              <w:shd w:val="clear" w:color="auto" w:fill="FFFFFF" w:themeFill="background1"/>
              <w:contextualSpacing/>
              <w:rPr>
                <w:rFonts w:eastAsia="Times New Roman" w:cs="Segoe UI"/>
              </w:rPr>
            </w:pPr>
            <w:r>
              <w:rPr>
                <w:rFonts w:eastAsia="Times New Roman" w:cs="Segoe UI"/>
              </w:rPr>
              <w:t xml:space="preserve">Children and families receive </w:t>
            </w:r>
            <w:r w:rsidR="00C01A63">
              <w:rPr>
                <w:rFonts w:eastAsia="Times New Roman" w:cs="Segoe UI"/>
              </w:rPr>
              <w:t>all Part C</w:t>
            </w:r>
            <w:r>
              <w:rPr>
                <w:rFonts w:eastAsia="Times New Roman" w:cs="Segoe UI"/>
              </w:rPr>
              <w:t xml:space="preserve"> services as specified on the</w:t>
            </w:r>
            <w:r w:rsidR="00C01A63">
              <w:rPr>
                <w:rFonts w:eastAsia="Times New Roman" w:cs="Segoe UI"/>
              </w:rPr>
              <w:t>ir</w:t>
            </w:r>
            <w:r>
              <w:rPr>
                <w:rFonts w:eastAsia="Times New Roman" w:cs="Segoe UI"/>
              </w:rPr>
              <w:t xml:space="preserve"> IFSP. </w:t>
            </w:r>
          </w:p>
        </w:tc>
      </w:tr>
      <w:tr w:rsidR="008C50C8" w:rsidRPr="00144CC1" w14:paraId="3A5B9F46" w14:textId="77777777" w:rsidTr="00DE1B3C">
        <w:trPr>
          <w:trHeight w:val="300"/>
        </w:trPr>
        <w:tc>
          <w:tcPr>
            <w:tcW w:w="2448" w:type="dxa"/>
          </w:tcPr>
          <w:p w14:paraId="2A7112BA" w14:textId="79B840A9" w:rsidR="008C50C8" w:rsidRPr="00144CC1" w:rsidRDefault="007E7B15" w:rsidP="006A02D1">
            <w:pPr>
              <w:contextualSpacing/>
            </w:pPr>
            <w:r>
              <w:t>IDEA</w:t>
            </w:r>
            <w:r w:rsidR="0055201B">
              <w:t xml:space="preserve"> Foundation(s)</w:t>
            </w:r>
          </w:p>
        </w:tc>
        <w:tc>
          <w:tcPr>
            <w:tcW w:w="6912" w:type="dxa"/>
          </w:tcPr>
          <w:p w14:paraId="4EE8218B" w14:textId="755B2951" w:rsidR="008C50C8" w:rsidRPr="00144CC1" w:rsidRDefault="002C7A2A" w:rsidP="006A02D1">
            <w:pPr>
              <w:contextualSpacing/>
              <w:rPr>
                <w:rFonts w:eastAsia="Times New Roman" w:cs="Segoe UI"/>
                <w:color w:val="212529"/>
              </w:rPr>
            </w:pPr>
            <w:hyperlink r:id="rId10" w:anchor="p-303.13(a)(9)" w:history="1">
              <w:r w:rsidR="006A1F24">
                <w:rPr>
                  <w:rStyle w:val="Hyperlink"/>
                  <w:rFonts w:eastAsia="Times New Roman" w:cs="Segoe UI"/>
                </w:rPr>
                <w:t>34 CFR § 303.13(a)(9)</w:t>
              </w:r>
            </w:hyperlink>
            <w:r w:rsidR="006A1F24">
              <w:rPr>
                <w:rFonts w:eastAsia="Times New Roman" w:cs="Segoe UI"/>
              </w:rPr>
              <w:t xml:space="preserve"> – “Early intervention services … a</w:t>
            </w:r>
            <w:r w:rsidR="006A1F24" w:rsidRPr="00D77B61">
              <w:rPr>
                <w:rFonts w:eastAsia="Times New Roman" w:cs="Segoe UI"/>
              </w:rPr>
              <w:t xml:space="preserve">re provided in conformity with an IFSP adopted in accordance with section 636 of the Act and </w:t>
            </w:r>
            <w:hyperlink r:id="rId11" w:history="1">
              <w:r w:rsidR="006A1F24">
                <w:rPr>
                  <w:rStyle w:val="Hyperlink"/>
                  <w:rFonts w:eastAsia="Times New Roman" w:cs="Segoe UI"/>
                </w:rPr>
                <w:t>§ 303.20</w:t>
              </w:r>
            </w:hyperlink>
            <w:r w:rsidR="006A1F24" w:rsidRPr="00D77B61">
              <w:rPr>
                <w:rFonts w:eastAsia="Times New Roman" w:cs="Segoe UI"/>
              </w:rPr>
              <w:t>.</w:t>
            </w:r>
          </w:p>
        </w:tc>
      </w:tr>
      <w:tr w:rsidR="0055201B" w:rsidRPr="00144CC1" w14:paraId="4376341C" w14:textId="77777777" w:rsidTr="00DE1B3C">
        <w:trPr>
          <w:trHeight w:val="300"/>
        </w:trPr>
        <w:tc>
          <w:tcPr>
            <w:tcW w:w="2448" w:type="dxa"/>
          </w:tcPr>
          <w:p w14:paraId="10641E39" w14:textId="46B96621" w:rsidR="0055201B" w:rsidRPr="00144CC1" w:rsidRDefault="0055201B" w:rsidP="006A02D1">
            <w:pPr>
              <w:contextualSpacing/>
            </w:pPr>
            <w:r>
              <w:t>Local Part C Contract Requirement(s)</w:t>
            </w:r>
          </w:p>
        </w:tc>
        <w:tc>
          <w:tcPr>
            <w:tcW w:w="6912" w:type="dxa"/>
          </w:tcPr>
          <w:p w14:paraId="6BE8223B" w14:textId="004825B7" w:rsidR="0055201B" w:rsidRPr="00981B86" w:rsidRDefault="00A21769" w:rsidP="00981B86">
            <w:pPr>
              <w:rPr>
                <w:rFonts w:eastAsia="Times New Roman" w:cs="Segoe UI"/>
                <w:color w:val="212529"/>
              </w:rPr>
            </w:pPr>
            <w:r w:rsidRPr="00981B86">
              <w:rPr>
                <w:rFonts w:eastAsia="Times New Roman" w:cs="Segoe UI"/>
                <w:kern w:val="0"/>
                <w14:ligatures w14:val="none"/>
              </w:rPr>
              <w:t xml:space="preserve">2.1.2.b.(5) – [LSM roles and responsibilities] … </w:t>
            </w:r>
            <w:r w:rsidR="00BE2B5D" w:rsidRPr="00981B86">
              <w:rPr>
                <w:rFonts w:eastAsia="Times New Roman" w:cs="Segoe UI"/>
                <w:color w:val="212529"/>
              </w:rPr>
              <w:t>Providing oversight of local service delivery, including service delivery administered by contract providers, and monitoring trends related to supports and services, and frequency, length and changes in services for individual children to ensure supports and services are individualized to meet each child’s and family’s needs</w:t>
            </w:r>
            <w:r w:rsidRPr="00981B86">
              <w:rPr>
                <w:rFonts w:eastAsia="Times New Roman" w:cs="Segoe UI"/>
                <w:color w:val="212529"/>
              </w:rPr>
              <w:t>.</w:t>
            </w:r>
          </w:p>
        </w:tc>
      </w:tr>
      <w:tr w:rsidR="007C1A48" w:rsidRPr="00144CC1" w14:paraId="072B19C4" w14:textId="77777777" w:rsidTr="00DE1B3C">
        <w:trPr>
          <w:trHeight w:val="300"/>
        </w:trPr>
        <w:tc>
          <w:tcPr>
            <w:tcW w:w="2448" w:type="dxa"/>
          </w:tcPr>
          <w:p w14:paraId="0258A1C0" w14:textId="77777777" w:rsidR="007C1A48" w:rsidRPr="00144CC1" w:rsidRDefault="007C1A48" w:rsidP="006A02D1">
            <w:pPr>
              <w:contextualSpacing/>
            </w:pPr>
            <w:r w:rsidRPr="00144CC1">
              <w:t>Responsible Party</w:t>
            </w:r>
          </w:p>
        </w:tc>
        <w:tc>
          <w:tcPr>
            <w:tcW w:w="6912" w:type="dxa"/>
          </w:tcPr>
          <w:p w14:paraId="1D41FA46" w14:textId="3072502F" w:rsidR="007C1A48" w:rsidRPr="00144CC1" w:rsidRDefault="007C1A48" w:rsidP="006A02D1">
            <w:pPr>
              <w:contextualSpacing/>
            </w:pPr>
            <w:r w:rsidRPr="00144CC1">
              <w:rPr>
                <w:rFonts w:eastAsia="Times New Roman" w:cs="Segoe UI"/>
                <w:color w:val="212529"/>
              </w:rPr>
              <w:t xml:space="preserve">Part C </w:t>
            </w:r>
            <w:r w:rsidR="006F5380">
              <w:rPr>
                <w:rFonts w:eastAsia="Times New Roman" w:cs="Segoe UI"/>
                <w:color w:val="212529"/>
              </w:rPr>
              <w:t>m</w:t>
            </w:r>
            <w:r w:rsidRPr="00144CC1">
              <w:rPr>
                <w:rFonts w:eastAsia="Times New Roman" w:cs="Segoe UI"/>
                <w:color w:val="212529"/>
              </w:rPr>
              <w:t xml:space="preserve">onitoring </w:t>
            </w:r>
            <w:r w:rsidR="006F5380">
              <w:rPr>
                <w:rFonts w:eastAsia="Times New Roman" w:cs="Segoe UI"/>
                <w:color w:val="212529"/>
              </w:rPr>
              <w:t>t</w:t>
            </w:r>
            <w:r w:rsidRPr="00144CC1">
              <w:rPr>
                <w:rFonts w:eastAsia="Times New Roman" w:cs="Segoe UI"/>
                <w:color w:val="212529"/>
              </w:rPr>
              <w:t>eam</w:t>
            </w:r>
          </w:p>
        </w:tc>
      </w:tr>
      <w:tr w:rsidR="007C1A48" w:rsidRPr="00144CC1" w14:paraId="2CB80289" w14:textId="77777777" w:rsidTr="00DE1B3C">
        <w:trPr>
          <w:trHeight w:val="300"/>
        </w:trPr>
        <w:tc>
          <w:tcPr>
            <w:tcW w:w="2448" w:type="dxa"/>
          </w:tcPr>
          <w:p w14:paraId="1B881F84" w14:textId="77777777" w:rsidR="007C1A48" w:rsidRPr="00144CC1" w:rsidRDefault="007C1A48" w:rsidP="006A02D1">
            <w:pPr>
              <w:contextualSpacing/>
            </w:pPr>
            <w:r w:rsidRPr="00144CC1">
              <w:t>Frequency and Method</w:t>
            </w:r>
          </w:p>
        </w:tc>
        <w:tc>
          <w:tcPr>
            <w:tcW w:w="6912" w:type="dxa"/>
          </w:tcPr>
          <w:p w14:paraId="33C1CBE6" w14:textId="2F49B356" w:rsidR="008759E2" w:rsidRPr="00981B86" w:rsidRDefault="00DE1B3C" w:rsidP="00981B86">
            <w:pPr>
              <w:textAlignment w:val="baseline"/>
              <w:rPr>
                <w:rFonts w:eastAsia="Times New Roman" w:cs="Segoe UI"/>
                <w:color w:val="212529"/>
                <w:kern w:val="0"/>
                <w14:ligatures w14:val="none"/>
              </w:rPr>
            </w:pPr>
            <w:r w:rsidRPr="00AD16E4">
              <w:rPr>
                <w:rFonts w:asciiTheme="minorHAnsi" w:eastAsiaTheme="minorEastAsia" w:hAnsiTheme="minorHAnsi"/>
                <w:color w:val="212529"/>
                <w:kern w:val="0"/>
                <w14:ligatures w14:val="none"/>
              </w:rPr>
              <w:t>1x/POSM cycle; desk audit and interview(s)</w:t>
            </w:r>
          </w:p>
        </w:tc>
      </w:tr>
      <w:tr w:rsidR="007C1A48" w:rsidRPr="00144CC1" w14:paraId="1E16B0E5" w14:textId="77777777" w:rsidTr="00DE1B3C">
        <w:trPr>
          <w:trHeight w:val="300"/>
        </w:trPr>
        <w:tc>
          <w:tcPr>
            <w:tcW w:w="2448" w:type="dxa"/>
          </w:tcPr>
          <w:p w14:paraId="2A45FC4A" w14:textId="77777777" w:rsidR="007C1A48" w:rsidRPr="00144CC1" w:rsidRDefault="007C1A48" w:rsidP="006A02D1">
            <w:pPr>
              <w:contextualSpacing/>
            </w:pPr>
            <w:r w:rsidRPr="00144CC1">
              <w:t>Data Source(s)</w:t>
            </w:r>
          </w:p>
        </w:tc>
        <w:tc>
          <w:tcPr>
            <w:tcW w:w="6912" w:type="dxa"/>
          </w:tcPr>
          <w:p w14:paraId="5FAD800F" w14:textId="757376A6" w:rsidR="008759E2" w:rsidRPr="00144CC1" w:rsidRDefault="001E356E" w:rsidP="001E356E">
            <w:r w:rsidRPr="00144CC1">
              <w:t>State data system (TRAC-IT)</w:t>
            </w:r>
            <w:r>
              <w:t xml:space="preserve"> with su</w:t>
            </w:r>
            <w:r w:rsidRPr="00144CC1">
              <w:t>pporting documentation provided by locality</w:t>
            </w:r>
            <w:r>
              <w:t xml:space="preserve"> (</w:t>
            </w:r>
            <w:r w:rsidRPr="00144CC1">
              <w:t>if not readily accessible in TRAC-IT</w:t>
            </w:r>
            <w:r>
              <w:t>)</w:t>
            </w:r>
          </w:p>
        </w:tc>
      </w:tr>
      <w:tr w:rsidR="007C1A48" w:rsidRPr="00144CC1" w14:paraId="069450DF" w14:textId="77777777" w:rsidTr="00DE1B3C">
        <w:trPr>
          <w:trHeight w:val="300"/>
        </w:trPr>
        <w:tc>
          <w:tcPr>
            <w:tcW w:w="2448" w:type="dxa"/>
          </w:tcPr>
          <w:p w14:paraId="678CF4D1" w14:textId="77777777" w:rsidR="007C1A48" w:rsidRPr="00144CC1" w:rsidRDefault="007C1A48" w:rsidP="006A02D1">
            <w:pPr>
              <w:contextualSpacing/>
            </w:pPr>
            <w:r w:rsidRPr="00144CC1">
              <w:t>Amount of Data</w:t>
            </w:r>
          </w:p>
        </w:tc>
        <w:tc>
          <w:tcPr>
            <w:tcW w:w="6912" w:type="dxa"/>
          </w:tcPr>
          <w:p w14:paraId="60FA8A30" w14:textId="5A077EE6" w:rsidR="007C1A48" w:rsidRPr="007766AD" w:rsidRDefault="007766AD" w:rsidP="007766AD">
            <w:pPr>
              <w:textAlignment w:val="baseline"/>
              <w:rPr>
                <w:rFonts w:eastAsia="Times New Roman" w:cs="Segoe UI"/>
                <w:kern w:val="0"/>
                <w14:ligatures w14:val="none"/>
              </w:rPr>
            </w:pPr>
            <w:r w:rsidRPr="007766AD">
              <w:rPr>
                <w:rFonts w:eastAsia="Times New Roman" w:cs="Segoe UI"/>
                <w:kern w:val="0"/>
                <w14:ligatures w14:val="none"/>
              </w:rPr>
              <w:t>Case review(s); determined by annualized child count: 1-200 = 15 records; 201-500 = 22 records; 501+ = 30 records</w:t>
            </w:r>
          </w:p>
        </w:tc>
      </w:tr>
      <w:tr w:rsidR="007C1A48" w:rsidRPr="00144CC1" w14:paraId="46154524" w14:textId="77777777" w:rsidTr="00DE1B3C">
        <w:trPr>
          <w:trHeight w:val="300"/>
        </w:trPr>
        <w:tc>
          <w:tcPr>
            <w:tcW w:w="2448" w:type="dxa"/>
          </w:tcPr>
          <w:p w14:paraId="02EF310A" w14:textId="77777777" w:rsidR="007C1A48" w:rsidRPr="00144CC1" w:rsidRDefault="007C1A48" w:rsidP="006A02D1">
            <w:pPr>
              <w:contextualSpacing/>
            </w:pPr>
            <w:r w:rsidRPr="00144CC1">
              <w:t>Compliance Criteria</w:t>
            </w:r>
          </w:p>
        </w:tc>
        <w:tc>
          <w:tcPr>
            <w:tcW w:w="6912" w:type="dxa"/>
          </w:tcPr>
          <w:p w14:paraId="3EEC272F" w14:textId="71A469AC" w:rsidR="00E4298B" w:rsidRDefault="00E4298B" w:rsidP="006A02D1">
            <w:pPr>
              <w:contextualSpacing/>
              <w:textAlignment w:val="baseline"/>
              <w:rPr>
                <w:rFonts w:eastAsia="Times New Roman" w:cs="Segoe UI"/>
                <w:kern w:val="0"/>
                <w14:ligatures w14:val="none"/>
              </w:rPr>
            </w:pPr>
            <w:r>
              <w:rPr>
                <w:rFonts w:eastAsia="Times New Roman" w:cs="Segoe UI"/>
                <w:kern w:val="0"/>
                <w14:ligatures w14:val="none"/>
              </w:rPr>
              <w:t>Evidence of requirement(s) (above) as demonstrated by:</w:t>
            </w:r>
          </w:p>
          <w:p w14:paraId="20C3D95E" w14:textId="2D105F17" w:rsidR="001C437F" w:rsidRPr="001C437F" w:rsidRDefault="004F66AE" w:rsidP="0023121B">
            <w:pPr>
              <w:pStyle w:val="ListParagraph"/>
              <w:numPr>
                <w:ilvl w:val="0"/>
                <w:numId w:val="4"/>
              </w:numPr>
              <w:textAlignment w:val="baseline"/>
              <w:rPr>
                <w:rFonts w:eastAsia="Times New Roman" w:cs="Segoe UI"/>
                <w:kern w:val="0"/>
                <w14:ligatures w14:val="none"/>
              </w:rPr>
            </w:pPr>
            <w:r>
              <w:t xml:space="preserve">The number of intervention sessions provided matches what is </w:t>
            </w:r>
            <w:r w:rsidR="004F1302">
              <w:t>on the IFSP</w:t>
            </w:r>
            <w:r>
              <w:t>; or</w:t>
            </w:r>
            <w:r w:rsidR="001C437F">
              <w:t>,</w:t>
            </w:r>
            <w:r>
              <w:t xml:space="preserve"> if not, </w:t>
            </w:r>
            <w:r w:rsidR="0014778F">
              <w:t xml:space="preserve">discrepancies are documented and </w:t>
            </w:r>
            <w:r w:rsidR="000D3527">
              <w:t>the result of compliant (i.e., family) reasons</w:t>
            </w:r>
            <w:r w:rsidR="00285B98">
              <w:t xml:space="preserve"> only.</w:t>
            </w:r>
          </w:p>
          <w:p w14:paraId="66618417" w14:textId="3F634E4F" w:rsidR="007C1A48" w:rsidRPr="005F0BB6" w:rsidRDefault="000D3527" w:rsidP="0023121B">
            <w:pPr>
              <w:pStyle w:val="ListParagraph"/>
              <w:numPr>
                <w:ilvl w:val="0"/>
                <w:numId w:val="4"/>
              </w:numPr>
              <w:textAlignment w:val="baseline"/>
              <w:rPr>
                <w:rFonts w:eastAsia="Times New Roman" w:cs="Segoe UI"/>
                <w:kern w:val="0"/>
                <w14:ligatures w14:val="none"/>
              </w:rPr>
            </w:pPr>
            <w:r>
              <w:t xml:space="preserve">Service </w:t>
            </w:r>
            <w:r w:rsidR="005F0BB6">
              <w:t xml:space="preserve">frequency, </w:t>
            </w:r>
            <w:r w:rsidR="001C437F">
              <w:t>intensity</w:t>
            </w:r>
            <w:r w:rsidR="004F1302">
              <w:t>, length</w:t>
            </w:r>
            <w:r w:rsidR="001C437F">
              <w:t xml:space="preserve"> and setting match what is </w:t>
            </w:r>
            <w:r w:rsidR="004F1302">
              <w:t>on the IFSP</w:t>
            </w:r>
            <w:r w:rsidR="005F0BB6">
              <w:t>; or, if not, discrepancies are well documented and the result of compliant (i.e., family) reasons</w:t>
            </w:r>
            <w:r w:rsidR="00285B98">
              <w:t xml:space="preserve"> only.</w:t>
            </w:r>
          </w:p>
        </w:tc>
      </w:tr>
      <w:tr w:rsidR="007C1A48" w:rsidRPr="007766AD" w14:paraId="69395BDF" w14:textId="77777777" w:rsidTr="00DE1B3C">
        <w:trPr>
          <w:trHeight w:val="300"/>
        </w:trPr>
        <w:tc>
          <w:tcPr>
            <w:tcW w:w="2448" w:type="dxa"/>
          </w:tcPr>
          <w:p w14:paraId="390A474D" w14:textId="51BBFEA9" w:rsidR="007C1A48" w:rsidRPr="007766AD" w:rsidRDefault="00BC25A6" w:rsidP="006A02D1">
            <w:pPr>
              <w:contextualSpacing/>
            </w:pPr>
            <w:r w:rsidRPr="007766AD">
              <w:t>Monitoring Summary</w:t>
            </w:r>
          </w:p>
        </w:tc>
        <w:tc>
          <w:tcPr>
            <w:tcW w:w="6912" w:type="dxa"/>
          </w:tcPr>
          <w:p w14:paraId="69A139F5" w14:textId="555D60D1" w:rsidR="00F40C68" w:rsidRPr="007E7B15" w:rsidRDefault="00415D2D" w:rsidP="19F06BC6">
            <w:pPr>
              <w:shd w:val="clear" w:color="auto" w:fill="FFFFFF" w:themeFill="background1"/>
              <w:contextualSpacing/>
              <w:textAlignment w:val="baseline"/>
              <w:rPr>
                <w:rFonts w:eastAsia="Aptos" w:cs="Aptos"/>
                <w:color w:val="000000" w:themeColor="text1"/>
              </w:rPr>
            </w:pPr>
            <w:r>
              <w:t>The Part C monitoring team identifies a representative sample of local cases to be reviewed, selecting from the 3-month period immediately preceding initiation of local POSM</w:t>
            </w:r>
            <w:r w:rsidR="00F40C68" w:rsidRPr="007766AD">
              <w:rPr>
                <w:rFonts w:asciiTheme="minorHAnsi" w:eastAsia="Times New Roman" w:hAnsiTheme="minorHAnsi" w:cs="Segoe UI"/>
                <w:kern w:val="0"/>
                <w14:ligatures w14:val="none"/>
              </w:rPr>
              <w:t xml:space="preserve">. Utilizing </w:t>
            </w:r>
            <w:r w:rsidR="329BAEEB" w:rsidRPr="007766AD">
              <w:rPr>
                <w:rFonts w:asciiTheme="minorHAnsi" w:eastAsia="Times New Roman" w:hAnsiTheme="minorHAnsi" w:cs="Segoe UI"/>
                <w:kern w:val="0"/>
                <w14:ligatures w14:val="none"/>
              </w:rPr>
              <w:t>the ongoing services report from TRAC-IT</w:t>
            </w:r>
            <w:r w:rsidR="329BAEEB" w:rsidRPr="007766AD">
              <w:rPr>
                <w:rFonts w:eastAsia="Aptos" w:cs="Aptos"/>
                <w:color w:val="000000" w:themeColor="text1"/>
              </w:rPr>
              <w:t xml:space="preserve"> </w:t>
            </w:r>
            <w:r w:rsidR="165131F8" w:rsidRPr="007766AD">
              <w:rPr>
                <w:rFonts w:eastAsia="Aptos" w:cs="Aptos"/>
                <w:color w:val="000000" w:themeColor="text1"/>
              </w:rPr>
              <w:t xml:space="preserve">for the review period, </w:t>
            </w:r>
            <w:r w:rsidR="329BAEEB" w:rsidRPr="007766AD">
              <w:rPr>
                <w:rFonts w:eastAsia="Aptos" w:cs="Aptos"/>
                <w:color w:val="000000" w:themeColor="text1"/>
              </w:rPr>
              <w:t xml:space="preserve">team members </w:t>
            </w:r>
            <w:r w:rsidR="6F6D62C1" w:rsidRPr="007766AD">
              <w:rPr>
                <w:rFonts w:eastAsia="Aptos" w:cs="Aptos"/>
                <w:color w:val="000000" w:themeColor="text1"/>
              </w:rPr>
              <w:t xml:space="preserve">compare </w:t>
            </w:r>
            <w:r w:rsidR="00630DC2">
              <w:rPr>
                <w:rFonts w:eastAsia="Aptos" w:cs="Aptos"/>
                <w:color w:val="000000" w:themeColor="text1"/>
              </w:rPr>
              <w:t xml:space="preserve">actual </w:t>
            </w:r>
            <w:r w:rsidR="6F6D62C1" w:rsidRPr="007766AD">
              <w:rPr>
                <w:rFonts w:eastAsia="Aptos" w:cs="Aptos"/>
                <w:color w:val="000000" w:themeColor="text1"/>
              </w:rPr>
              <w:t>services delivered</w:t>
            </w:r>
            <w:r w:rsidR="36511B0D" w:rsidRPr="007766AD">
              <w:rPr>
                <w:rFonts w:eastAsia="Aptos" w:cs="Aptos"/>
                <w:color w:val="000000" w:themeColor="text1"/>
              </w:rPr>
              <w:t xml:space="preserve"> to frequency</w:t>
            </w:r>
            <w:r w:rsidR="1A732CCA" w:rsidRPr="007766AD">
              <w:rPr>
                <w:rFonts w:eastAsia="Aptos" w:cs="Aptos"/>
                <w:color w:val="000000" w:themeColor="text1"/>
              </w:rPr>
              <w:t>, intensity</w:t>
            </w:r>
            <w:r w:rsidR="00ED5D42">
              <w:rPr>
                <w:rFonts w:eastAsia="Aptos" w:cs="Aptos"/>
                <w:color w:val="000000" w:themeColor="text1"/>
              </w:rPr>
              <w:t>, length</w:t>
            </w:r>
            <w:r w:rsidR="1A732CCA" w:rsidRPr="007766AD">
              <w:rPr>
                <w:rFonts w:eastAsia="Aptos" w:cs="Aptos"/>
                <w:color w:val="000000" w:themeColor="text1"/>
              </w:rPr>
              <w:t xml:space="preserve"> and setting</w:t>
            </w:r>
            <w:r w:rsidR="36511B0D" w:rsidRPr="007766AD">
              <w:rPr>
                <w:rFonts w:eastAsia="Aptos" w:cs="Aptos"/>
                <w:color w:val="000000" w:themeColor="text1"/>
              </w:rPr>
              <w:t xml:space="preserve"> on the IFSP to determine if </w:t>
            </w:r>
            <w:r>
              <w:rPr>
                <w:rFonts w:eastAsia="Aptos" w:cs="Aptos"/>
                <w:color w:val="000000" w:themeColor="text1"/>
              </w:rPr>
              <w:t xml:space="preserve">all IFSP </w:t>
            </w:r>
            <w:r w:rsidR="00C3413C">
              <w:rPr>
                <w:rFonts w:eastAsia="Aptos" w:cs="Aptos"/>
                <w:color w:val="000000" w:themeColor="text1"/>
              </w:rPr>
              <w:t>services were delivered</w:t>
            </w:r>
            <w:r w:rsidR="1D8A885A" w:rsidRPr="007766AD">
              <w:rPr>
                <w:rFonts w:eastAsia="Aptos" w:cs="Aptos"/>
                <w:color w:val="000000" w:themeColor="text1"/>
              </w:rPr>
              <w:t xml:space="preserve"> in accordance with the IFSP</w:t>
            </w:r>
            <w:r w:rsidR="36511B0D" w:rsidRPr="007766AD">
              <w:rPr>
                <w:rFonts w:eastAsia="Aptos" w:cs="Aptos"/>
                <w:color w:val="000000" w:themeColor="text1"/>
              </w:rPr>
              <w:t>. If</w:t>
            </w:r>
            <w:r w:rsidR="00ED5D42">
              <w:rPr>
                <w:rFonts w:eastAsia="Aptos" w:cs="Aptos"/>
                <w:color w:val="000000" w:themeColor="text1"/>
              </w:rPr>
              <w:t>/when</w:t>
            </w:r>
            <w:r w:rsidR="36511B0D" w:rsidRPr="007766AD">
              <w:rPr>
                <w:rFonts w:eastAsia="Aptos" w:cs="Aptos"/>
                <w:color w:val="000000" w:themeColor="text1"/>
              </w:rPr>
              <w:t xml:space="preserve"> </w:t>
            </w:r>
            <w:r w:rsidR="00FD2E60">
              <w:rPr>
                <w:rFonts w:eastAsia="Aptos" w:cs="Aptos"/>
                <w:color w:val="000000" w:themeColor="text1"/>
              </w:rPr>
              <w:t xml:space="preserve">discrepancies are </w:t>
            </w:r>
            <w:r w:rsidR="00ED5D42">
              <w:rPr>
                <w:rFonts w:eastAsia="Aptos" w:cs="Aptos"/>
                <w:color w:val="000000" w:themeColor="text1"/>
              </w:rPr>
              <w:t>noted</w:t>
            </w:r>
            <w:r w:rsidR="4CEDDFD7" w:rsidRPr="007766AD">
              <w:rPr>
                <w:rFonts w:eastAsia="Aptos" w:cs="Aptos"/>
                <w:color w:val="000000" w:themeColor="text1"/>
              </w:rPr>
              <w:t xml:space="preserve">, team members look for </w:t>
            </w:r>
            <w:r w:rsidR="008C4A24">
              <w:rPr>
                <w:rFonts w:eastAsia="Aptos" w:cs="Aptos"/>
                <w:color w:val="000000" w:themeColor="text1"/>
              </w:rPr>
              <w:t>explanatory documentation</w:t>
            </w:r>
            <w:r w:rsidR="0014314A">
              <w:rPr>
                <w:rFonts w:eastAsia="Aptos" w:cs="Aptos"/>
                <w:color w:val="000000" w:themeColor="text1"/>
              </w:rPr>
              <w:t xml:space="preserve"> </w:t>
            </w:r>
            <w:r w:rsidR="00BB1C38">
              <w:rPr>
                <w:rFonts w:eastAsia="Aptos" w:cs="Aptos"/>
                <w:color w:val="000000" w:themeColor="text1"/>
              </w:rPr>
              <w:t>that</w:t>
            </w:r>
            <w:r w:rsidR="00F112B4">
              <w:rPr>
                <w:rFonts w:eastAsia="Aptos" w:cs="Aptos"/>
                <w:color w:val="000000" w:themeColor="text1"/>
              </w:rPr>
              <w:t xml:space="preserve"> support</w:t>
            </w:r>
            <w:r w:rsidR="00BB1C38">
              <w:rPr>
                <w:rFonts w:eastAsia="Aptos" w:cs="Aptos"/>
                <w:color w:val="000000" w:themeColor="text1"/>
              </w:rPr>
              <w:t>s</w:t>
            </w:r>
            <w:r w:rsidR="00F112B4">
              <w:rPr>
                <w:rFonts w:eastAsia="Aptos" w:cs="Aptos"/>
                <w:color w:val="000000" w:themeColor="text1"/>
              </w:rPr>
              <w:t xml:space="preserve"> compliant (i.e., family) reasons for such discrepancies.</w:t>
            </w:r>
          </w:p>
        </w:tc>
      </w:tr>
      <w:tr w:rsidR="006A02D1" w:rsidRPr="006A02D1" w14:paraId="300D3D9B" w14:textId="77777777" w:rsidTr="00DE1B3C">
        <w:trPr>
          <w:trHeight w:val="300"/>
        </w:trPr>
        <w:tc>
          <w:tcPr>
            <w:tcW w:w="2448" w:type="dxa"/>
          </w:tcPr>
          <w:p w14:paraId="179A173F" w14:textId="0F9DA88D" w:rsidR="006A02D1" w:rsidRPr="006A02D1" w:rsidRDefault="007E7B15" w:rsidP="006A02D1">
            <w:pPr>
              <w:contextualSpacing/>
            </w:pPr>
            <w:r>
              <w:rPr>
                <w:rFonts w:eastAsia="Times New Roman" w:cs="Segoe UI"/>
                <w:kern w:val="0"/>
                <w14:ligatures w14:val="none"/>
              </w:rPr>
              <w:lastRenderedPageBreak/>
              <w:t>Required Action(s)</w:t>
            </w:r>
          </w:p>
        </w:tc>
        <w:tc>
          <w:tcPr>
            <w:tcW w:w="6912" w:type="dxa"/>
          </w:tcPr>
          <w:p w14:paraId="0ECAAEAD" w14:textId="056FD47A" w:rsidR="00141619" w:rsidRDefault="00141619" w:rsidP="0023121B">
            <w:pPr>
              <w:pStyle w:val="ListParagraph"/>
              <w:numPr>
                <w:ilvl w:val="0"/>
                <w:numId w:val="5"/>
              </w:numPr>
            </w:pPr>
            <w:r>
              <w:t xml:space="preserve">If all (100%) records reviewed meet compliance criteria </w:t>
            </w:r>
            <w:r w:rsidR="00317235">
              <w:t xml:space="preserve">a and b, </w:t>
            </w:r>
            <w:r>
              <w:t>no further action(s) required.</w:t>
            </w:r>
          </w:p>
          <w:p w14:paraId="109BDC3F" w14:textId="77777777" w:rsidR="00141619" w:rsidRDefault="00141619" w:rsidP="0023121B">
            <w:pPr>
              <w:ind w:left="360"/>
              <w:contextualSpacing/>
            </w:pPr>
            <w:r>
              <w:t>-OR-</w:t>
            </w:r>
          </w:p>
          <w:p w14:paraId="0D7A8356" w14:textId="74BDDC3D" w:rsidR="00141619" w:rsidRPr="006E1066" w:rsidRDefault="00141619" w:rsidP="0023121B">
            <w:pPr>
              <w:pStyle w:val="ListParagraph"/>
              <w:numPr>
                <w:ilvl w:val="0"/>
                <w:numId w:val="5"/>
              </w:numPr>
              <w:shd w:val="clear" w:color="auto" w:fill="FFFFFF" w:themeFill="background1"/>
              <w:rPr>
                <w:rFonts w:eastAsia="Times New Roman" w:cs="Segoe UI"/>
                <w:color w:val="212529"/>
                <w:kern w:val="0"/>
                <w14:ligatures w14:val="none"/>
              </w:rPr>
            </w:pPr>
            <w:r>
              <w:t xml:space="preserve">If fewer than all (100%) records reviewed meet compliance criteria </w:t>
            </w:r>
            <w:r w:rsidR="00317235">
              <w:t>a and b</w:t>
            </w:r>
            <w:r>
              <w:t xml:space="preserve">, the locality must within ninety (90) days of notification of finding(s) develop a process (for SLA review and approval) to improve performance and </w:t>
            </w:r>
            <w:r w:rsidR="006E1066">
              <w:t xml:space="preserve">subsequently </w:t>
            </w:r>
            <w:r>
              <w:t>implement identified improvement activities as soon as possible but in no case later than nine (9) months post notification of finding(s).</w:t>
            </w:r>
          </w:p>
        </w:tc>
      </w:tr>
      <w:tr w:rsidR="001E356E" w:rsidRPr="006A02D1" w14:paraId="2F5CEA4B" w14:textId="77777777" w:rsidTr="00DE1B3C">
        <w:trPr>
          <w:trHeight w:val="300"/>
        </w:trPr>
        <w:tc>
          <w:tcPr>
            <w:tcW w:w="2448" w:type="dxa"/>
          </w:tcPr>
          <w:p w14:paraId="4BA8FEBA" w14:textId="3E8EAA39" w:rsidR="001E356E" w:rsidRPr="006A02D1" w:rsidRDefault="001E356E" w:rsidP="006A02D1">
            <w:pPr>
              <w:contextualSpacing/>
            </w:pPr>
            <w:r w:rsidRPr="006A02D1">
              <w:t>Revision History</w:t>
            </w:r>
          </w:p>
        </w:tc>
        <w:tc>
          <w:tcPr>
            <w:tcW w:w="6912" w:type="dxa"/>
          </w:tcPr>
          <w:p w14:paraId="2D40F0A6" w14:textId="7650ACEC" w:rsidR="001E356E" w:rsidRDefault="001E356E" w:rsidP="00034F71">
            <w:pPr>
              <w:shd w:val="clear" w:color="auto" w:fill="FFFFFF" w:themeFill="background1"/>
            </w:pPr>
            <w:r>
              <w:t>Original: 2024-10-10</w:t>
            </w:r>
          </w:p>
        </w:tc>
      </w:tr>
    </w:tbl>
    <w:p w14:paraId="436AD385" w14:textId="174619D2" w:rsidR="007E678C" w:rsidRDefault="007E678C" w:rsidP="007C1A48"/>
    <w:sectPr w:rsidR="007E678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8343" w14:textId="77777777" w:rsidR="002059E2" w:rsidRDefault="002059E2" w:rsidP="0071173B">
      <w:r>
        <w:separator/>
      </w:r>
    </w:p>
  </w:endnote>
  <w:endnote w:type="continuationSeparator" w:id="0">
    <w:p w14:paraId="4035C099" w14:textId="77777777" w:rsidR="002059E2" w:rsidRDefault="002059E2" w:rsidP="0071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720F" w14:textId="77777777" w:rsidR="000148F8" w:rsidRDefault="000148F8">
    <w:pPr>
      <w:pStyle w:val="Footer"/>
      <w:rPr>
        <w:sz w:val="20"/>
        <w:szCs w:val="20"/>
      </w:rPr>
    </w:pPr>
  </w:p>
  <w:p w14:paraId="3D408F5C" w14:textId="172DF450" w:rsidR="000148F8" w:rsidRDefault="000148F8">
    <w:pPr>
      <w:pStyle w:val="Footer"/>
      <w:rPr>
        <w:sz w:val="20"/>
        <w:szCs w:val="20"/>
      </w:rPr>
    </w:pPr>
    <w:r>
      <w:rPr>
        <w:sz w:val="20"/>
        <w:szCs w:val="20"/>
      </w:rPr>
      <w:t>ITCVA GSM Framework</w:t>
    </w:r>
  </w:p>
  <w:p w14:paraId="6FDD85CB" w14:textId="0459C63C" w:rsidR="00215941" w:rsidRDefault="00215941">
    <w:pPr>
      <w:pStyle w:val="Footer"/>
      <w:rPr>
        <w:sz w:val="20"/>
        <w:szCs w:val="20"/>
      </w:rPr>
    </w:pPr>
    <w:r>
      <w:rPr>
        <w:sz w:val="20"/>
        <w:szCs w:val="20"/>
      </w:rPr>
      <w:t>Core Activity 5 – POSM</w:t>
    </w:r>
  </w:p>
  <w:p w14:paraId="6DFEBBB8" w14:textId="592B5EB7" w:rsidR="000148F8" w:rsidRDefault="000148F8">
    <w:pPr>
      <w:pStyle w:val="Footer"/>
      <w:rPr>
        <w:sz w:val="20"/>
        <w:szCs w:val="20"/>
      </w:rPr>
    </w:pPr>
    <w:r>
      <w:rPr>
        <w:sz w:val="20"/>
        <w:szCs w:val="20"/>
      </w:rPr>
      <w:t>POSM Protocols</w:t>
    </w:r>
  </w:p>
  <w:p w14:paraId="0AA91D6B" w14:textId="503281F0" w:rsidR="0071173B" w:rsidRPr="000148F8" w:rsidRDefault="000148F8">
    <w:pPr>
      <w:pStyle w:val="Footer"/>
      <w:rPr>
        <w:sz w:val="20"/>
        <w:szCs w:val="20"/>
      </w:rPr>
    </w:pPr>
    <w:r>
      <w:rPr>
        <w:sz w:val="20"/>
        <w:szCs w:val="20"/>
      </w:rPr>
      <w:t>2024-</w:t>
    </w:r>
    <w:r w:rsidR="00034F71">
      <w:rPr>
        <w:sz w:val="20"/>
        <w:szCs w:val="20"/>
      </w:rPr>
      <w:t>10-10</w:t>
    </w:r>
    <w:r w:rsidRPr="000148F8">
      <w:rPr>
        <w:sz w:val="20"/>
        <w:szCs w:val="20"/>
      </w:rPr>
      <w:ptab w:relativeTo="margin" w:alignment="center" w:leader="none"/>
    </w:r>
    <w:r w:rsidRPr="000148F8">
      <w:rPr>
        <w:sz w:val="20"/>
        <w:szCs w:val="20"/>
      </w:rPr>
      <w:ptab w:relativeTo="margin" w:alignment="right" w:leader="none"/>
    </w:r>
    <w:r w:rsidRPr="000148F8">
      <w:rPr>
        <w:sz w:val="20"/>
        <w:szCs w:val="20"/>
      </w:rPr>
      <w:fldChar w:fldCharType="begin"/>
    </w:r>
    <w:r w:rsidRPr="000148F8">
      <w:rPr>
        <w:sz w:val="20"/>
        <w:szCs w:val="20"/>
      </w:rPr>
      <w:instrText xml:space="preserve"> PAGE   \* MERGEFORMAT </w:instrText>
    </w:r>
    <w:r w:rsidRPr="000148F8">
      <w:rPr>
        <w:sz w:val="20"/>
        <w:szCs w:val="20"/>
      </w:rPr>
      <w:fldChar w:fldCharType="separate"/>
    </w:r>
    <w:r w:rsidRPr="000148F8">
      <w:rPr>
        <w:noProof/>
        <w:sz w:val="20"/>
        <w:szCs w:val="20"/>
      </w:rPr>
      <w:t>1</w:t>
    </w:r>
    <w:r w:rsidRPr="000148F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1ED4" w14:textId="77777777" w:rsidR="002059E2" w:rsidRDefault="002059E2" w:rsidP="0071173B">
      <w:r>
        <w:separator/>
      </w:r>
    </w:p>
  </w:footnote>
  <w:footnote w:type="continuationSeparator" w:id="0">
    <w:p w14:paraId="0B43D179" w14:textId="77777777" w:rsidR="002059E2" w:rsidRDefault="002059E2" w:rsidP="0071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365A"/>
    <w:multiLevelType w:val="multilevel"/>
    <w:tmpl w:val="DF56A30A"/>
    <w:lvl w:ilvl="0">
      <w:start w:val="1"/>
      <w:numFmt w:val="lowerLetter"/>
      <w:lvlText w:val="%1."/>
      <w:lvlJc w:val="left"/>
      <w:pPr>
        <w:tabs>
          <w:tab w:val="num" w:pos="360"/>
        </w:tabs>
        <w:ind w:left="360" w:hanging="360"/>
      </w:pPr>
      <w:rPr>
        <w:rFonts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021582"/>
    <w:multiLevelType w:val="hybridMultilevel"/>
    <w:tmpl w:val="8F54F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6D342E"/>
    <w:multiLevelType w:val="multilevel"/>
    <w:tmpl w:val="FA1EF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2604E3"/>
    <w:multiLevelType w:val="multilevel"/>
    <w:tmpl w:val="81A8AF92"/>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upperLetter"/>
      <w:suff w:val="nothing"/>
      <w:lvlText w:val="Appendix %4: "/>
      <w:lvlJc w:val="left"/>
      <w:pPr>
        <w:ind w:left="360" w:firstLine="0"/>
      </w:pPr>
    </w:lvl>
    <w:lvl w:ilvl="4">
      <w:start w:val="1"/>
      <w:numFmt w:val="none"/>
      <w:pStyle w:val="Heading5"/>
      <w:suff w:val="nothing"/>
      <w:lvlText w:val="SPP/APR Protocol C-"/>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7946494D"/>
    <w:multiLevelType w:val="multilevel"/>
    <w:tmpl w:val="B5FCF414"/>
    <w:lvl w:ilvl="0">
      <w:start w:val="1"/>
      <w:numFmt w:val="upperLetter"/>
      <w:pStyle w:val="Heading1"/>
      <w:suff w:val="space"/>
      <w:lvlText w:val="Section %1:"/>
      <w:lvlJc w:val="left"/>
      <w:pPr>
        <w:ind w:left="0" w:firstLine="0"/>
      </w:pPr>
      <w:rPr>
        <w:rFonts w:asciiTheme="majorHAnsi" w:hAnsiTheme="majorHAnsi"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upperLetter"/>
      <w:lvlRestart w:val="0"/>
      <w:suff w:val="nothing"/>
      <w:lvlText w:val="Appendix %4: "/>
      <w:lvlJc w:val="left"/>
      <w:pPr>
        <w:ind w:left="0" w:firstLine="0"/>
      </w:pPr>
      <w:rPr>
        <w:rFonts w:hint="default"/>
      </w:rPr>
    </w:lvl>
    <w:lvl w:ilvl="4">
      <w:start w:val="1"/>
      <w:numFmt w:val="none"/>
      <w:lvlRestart w:val="0"/>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399451937">
    <w:abstractNumId w:val="2"/>
  </w:num>
  <w:num w:numId="2" w16cid:durableId="1469591627">
    <w:abstractNumId w:val="3"/>
  </w:num>
  <w:num w:numId="3" w16cid:durableId="1427926149">
    <w:abstractNumId w:val="4"/>
  </w:num>
  <w:num w:numId="4" w16cid:durableId="1588492335">
    <w:abstractNumId w:val="0"/>
  </w:num>
  <w:num w:numId="5" w16cid:durableId="89058238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48"/>
    <w:rsid w:val="000148F8"/>
    <w:rsid w:val="00022D53"/>
    <w:rsid w:val="00034F71"/>
    <w:rsid w:val="00056168"/>
    <w:rsid w:val="0006328E"/>
    <w:rsid w:val="00073D27"/>
    <w:rsid w:val="00094BAF"/>
    <w:rsid w:val="000D3527"/>
    <w:rsid w:val="00111B75"/>
    <w:rsid w:val="00141619"/>
    <w:rsid w:val="0014314A"/>
    <w:rsid w:val="0014778F"/>
    <w:rsid w:val="00150AE8"/>
    <w:rsid w:val="00165BBD"/>
    <w:rsid w:val="001C172E"/>
    <w:rsid w:val="001C216C"/>
    <w:rsid w:val="001C437F"/>
    <w:rsid w:val="001E356E"/>
    <w:rsid w:val="001F05C3"/>
    <w:rsid w:val="001F7EDE"/>
    <w:rsid w:val="00202F17"/>
    <w:rsid w:val="002059E2"/>
    <w:rsid w:val="00211DC5"/>
    <w:rsid w:val="00215941"/>
    <w:rsid w:val="00221A5B"/>
    <w:rsid w:val="0023121B"/>
    <w:rsid w:val="002504D4"/>
    <w:rsid w:val="002534EA"/>
    <w:rsid w:val="00285B98"/>
    <w:rsid w:val="0029672A"/>
    <w:rsid w:val="002C3ECE"/>
    <w:rsid w:val="002C6304"/>
    <w:rsid w:val="002E54F6"/>
    <w:rsid w:val="002F3932"/>
    <w:rsid w:val="002F5977"/>
    <w:rsid w:val="00317235"/>
    <w:rsid w:val="003436CF"/>
    <w:rsid w:val="003528A9"/>
    <w:rsid w:val="003618E6"/>
    <w:rsid w:val="00374B5E"/>
    <w:rsid w:val="00395A48"/>
    <w:rsid w:val="003C589F"/>
    <w:rsid w:val="00403828"/>
    <w:rsid w:val="00415D2D"/>
    <w:rsid w:val="0042503E"/>
    <w:rsid w:val="00426213"/>
    <w:rsid w:val="00455DA4"/>
    <w:rsid w:val="0047359F"/>
    <w:rsid w:val="0047607B"/>
    <w:rsid w:val="00476CD7"/>
    <w:rsid w:val="004B041D"/>
    <w:rsid w:val="004C3A1F"/>
    <w:rsid w:val="004D3FB9"/>
    <w:rsid w:val="004E5C52"/>
    <w:rsid w:val="004E77C2"/>
    <w:rsid w:val="004F1302"/>
    <w:rsid w:val="004F3D41"/>
    <w:rsid w:val="004F66AE"/>
    <w:rsid w:val="005441B4"/>
    <w:rsid w:val="0055201B"/>
    <w:rsid w:val="005B5D38"/>
    <w:rsid w:val="005C13D8"/>
    <w:rsid w:val="005D21F0"/>
    <w:rsid w:val="005D7773"/>
    <w:rsid w:val="005E0DBD"/>
    <w:rsid w:val="005E5694"/>
    <w:rsid w:val="005F0BB6"/>
    <w:rsid w:val="005F1475"/>
    <w:rsid w:val="005F7C0F"/>
    <w:rsid w:val="00617614"/>
    <w:rsid w:val="00630DC2"/>
    <w:rsid w:val="00641DD4"/>
    <w:rsid w:val="00652C75"/>
    <w:rsid w:val="00685E30"/>
    <w:rsid w:val="00694930"/>
    <w:rsid w:val="006A02D1"/>
    <w:rsid w:val="006A1F24"/>
    <w:rsid w:val="006E1066"/>
    <w:rsid w:val="006F5380"/>
    <w:rsid w:val="007004C6"/>
    <w:rsid w:val="0071173B"/>
    <w:rsid w:val="00714E21"/>
    <w:rsid w:val="0071737B"/>
    <w:rsid w:val="007176DC"/>
    <w:rsid w:val="0073588A"/>
    <w:rsid w:val="00746C24"/>
    <w:rsid w:val="00765B94"/>
    <w:rsid w:val="00765C99"/>
    <w:rsid w:val="007766AD"/>
    <w:rsid w:val="00784436"/>
    <w:rsid w:val="007858A2"/>
    <w:rsid w:val="0079554D"/>
    <w:rsid w:val="007B7C2A"/>
    <w:rsid w:val="007C1A48"/>
    <w:rsid w:val="007C5A39"/>
    <w:rsid w:val="007D25BC"/>
    <w:rsid w:val="007E678C"/>
    <w:rsid w:val="007E7B15"/>
    <w:rsid w:val="007F01F9"/>
    <w:rsid w:val="00846761"/>
    <w:rsid w:val="008759E2"/>
    <w:rsid w:val="00884429"/>
    <w:rsid w:val="00890824"/>
    <w:rsid w:val="008A6BA8"/>
    <w:rsid w:val="008B294D"/>
    <w:rsid w:val="008B3D73"/>
    <w:rsid w:val="008C47F2"/>
    <w:rsid w:val="008C4A24"/>
    <w:rsid w:val="008C50C8"/>
    <w:rsid w:val="0090322E"/>
    <w:rsid w:val="0090448D"/>
    <w:rsid w:val="0092191C"/>
    <w:rsid w:val="0092429F"/>
    <w:rsid w:val="00956E9E"/>
    <w:rsid w:val="0096021F"/>
    <w:rsid w:val="00971E67"/>
    <w:rsid w:val="00981B86"/>
    <w:rsid w:val="0099587C"/>
    <w:rsid w:val="009A7979"/>
    <w:rsid w:val="009B2739"/>
    <w:rsid w:val="009D0EB5"/>
    <w:rsid w:val="009E3CE8"/>
    <w:rsid w:val="009E55C3"/>
    <w:rsid w:val="00A21769"/>
    <w:rsid w:val="00A30FCB"/>
    <w:rsid w:val="00AC460C"/>
    <w:rsid w:val="00AD644B"/>
    <w:rsid w:val="00AE584B"/>
    <w:rsid w:val="00AE6E8E"/>
    <w:rsid w:val="00B2555E"/>
    <w:rsid w:val="00B74244"/>
    <w:rsid w:val="00B80B32"/>
    <w:rsid w:val="00BA4174"/>
    <w:rsid w:val="00BB1C38"/>
    <w:rsid w:val="00BC2200"/>
    <w:rsid w:val="00BC25A6"/>
    <w:rsid w:val="00BE2B5D"/>
    <w:rsid w:val="00BE5B5C"/>
    <w:rsid w:val="00BE69A9"/>
    <w:rsid w:val="00C01A63"/>
    <w:rsid w:val="00C3413C"/>
    <w:rsid w:val="00C45CD1"/>
    <w:rsid w:val="00C71EF4"/>
    <w:rsid w:val="00CB171F"/>
    <w:rsid w:val="00CC19AC"/>
    <w:rsid w:val="00CD7D76"/>
    <w:rsid w:val="00D4134D"/>
    <w:rsid w:val="00D42047"/>
    <w:rsid w:val="00D77B61"/>
    <w:rsid w:val="00D90084"/>
    <w:rsid w:val="00D94B3D"/>
    <w:rsid w:val="00DA51B8"/>
    <w:rsid w:val="00DB114A"/>
    <w:rsid w:val="00DB6E8A"/>
    <w:rsid w:val="00DE1B3C"/>
    <w:rsid w:val="00E151AB"/>
    <w:rsid w:val="00E24AB5"/>
    <w:rsid w:val="00E3751C"/>
    <w:rsid w:val="00E4298B"/>
    <w:rsid w:val="00E80936"/>
    <w:rsid w:val="00E846D1"/>
    <w:rsid w:val="00E870CB"/>
    <w:rsid w:val="00E913D9"/>
    <w:rsid w:val="00E91D17"/>
    <w:rsid w:val="00EB728B"/>
    <w:rsid w:val="00ED5D42"/>
    <w:rsid w:val="00F112B4"/>
    <w:rsid w:val="00F12D85"/>
    <w:rsid w:val="00F322AF"/>
    <w:rsid w:val="00F40C68"/>
    <w:rsid w:val="00F80422"/>
    <w:rsid w:val="00F8290C"/>
    <w:rsid w:val="00FA31A2"/>
    <w:rsid w:val="00FA51D7"/>
    <w:rsid w:val="00FD2E60"/>
    <w:rsid w:val="00FD6B6D"/>
    <w:rsid w:val="00FE5321"/>
    <w:rsid w:val="012C2DCD"/>
    <w:rsid w:val="05DD3619"/>
    <w:rsid w:val="099CC8E4"/>
    <w:rsid w:val="0D23546E"/>
    <w:rsid w:val="0EDC89EF"/>
    <w:rsid w:val="1642D81F"/>
    <w:rsid w:val="165131F8"/>
    <w:rsid w:val="169A6F7D"/>
    <w:rsid w:val="19F06BC6"/>
    <w:rsid w:val="1A732CCA"/>
    <w:rsid w:val="1D8A885A"/>
    <w:rsid w:val="20A622D9"/>
    <w:rsid w:val="22EE3C90"/>
    <w:rsid w:val="297E1F69"/>
    <w:rsid w:val="2E2A44DF"/>
    <w:rsid w:val="3061E740"/>
    <w:rsid w:val="329BAEEB"/>
    <w:rsid w:val="36511B0D"/>
    <w:rsid w:val="4CEDDFD7"/>
    <w:rsid w:val="50C19B13"/>
    <w:rsid w:val="537CD6E9"/>
    <w:rsid w:val="56AC0301"/>
    <w:rsid w:val="57B02C27"/>
    <w:rsid w:val="59856CCD"/>
    <w:rsid w:val="5CF0A7A9"/>
    <w:rsid w:val="63BFC48A"/>
    <w:rsid w:val="6753A73F"/>
    <w:rsid w:val="683F8DE4"/>
    <w:rsid w:val="6F6D62C1"/>
    <w:rsid w:val="71470E6E"/>
    <w:rsid w:val="72D61554"/>
    <w:rsid w:val="75515016"/>
    <w:rsid w:val="777489A0"/>
    <w:rsid w:val="7BC9232E"/>
    <w:rsid w:val="7C2907BF"/>
    <w:rsid w:val="7DD9B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957F"/>
  <w15:chartTrackingRefBased/>
  <w15:docId w15:val="{34DD24DE-C25E-4D14-A3D9-24843A06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A48"/>
    <w:rPr>
      <w:rFonts w:ascii="Aptos" w:hAnsi="Aptos"/>
    </w:rPr>
  </w:style>
  <w:style w:type="paragraph" w:styleId="Heading1">
    <w:name w:val="heading 1"/>
    <w:basedOn w:val="Normal"/>
    <w:next w:val="Normal"/>
    <w:link w:val="Heading1Char"/>
    <w:autoRedefine/>
    <w:uiPriority w:val="9"/>
    <w:qFormat/>
    <w:rsid w:val="003436CF"/>
    <w:pPr>
      <w:keepNext/>
      <w:keepLines/>
      <w:numPr>
        <w:numId w:val="3"/>
      </w:numPr>
      <w:outlineLvl w:val="0"/>
    </w:pPr>
    <w:rPr>
      <w:rFonts w:ascii="Aptos Display" w:eastAsia="Aptos" w:hAnsi="Aptos Display" w:cs="Aptos"/>
      <w:b/>
      <w:bCs/>
      <w:color w:val="006666"/>
      <w:sz w:val="36"/>
      <w:szCs w:val="36"/>
    </w:rPr>
  </w:style>
  <w:style w:type="paragraph" w:styleId="Heading2">
    <w:name w:val="heading 2"/>
    <w:basedOn w:val="Normal"/>
    <w:next w:val="Normal"/>
    <w:link w:val="Heading2Char"/>
    <w:autoRedefine/>
    <w:uiPriority w:val="9"/>
    <w:unhideWhenUsed/>
    <w:qFormat/>
    <w:rsid w:val="003436CF"/>
    <w:pPr>
      <w:numPr>
        <w:ilvl w:val="1"/>
        <w:numId w:val="3"/>
      </w:numPr>
      <w:outlineLvl w:val="1"/>
    </w:pPr>
    <w:rPr>
      <w:b/>
      <w:bCs/>
      <w:color w:val="660066"/>
      <w:sz w:val="32"/>
      <w:szCs w:val="32"/>
    </w:rPr>
  </w:style>
  <w:style w:type="paragraph" w:styleId="Heading3">
    <w:name w:val="heading 3"/>
    <w:basedOn w:val="Normal"/>
    <w:next w:val="Normal"/>
    <w:link w:val="Heading3Char"/>
    <w:autoRedefine/>
    <w:uiPriority w:val="9"/>
    <w:unhideWhenUsed/>
    <w:qFormat/>
    <w:rsid w:val="003436CF"/>
    <w:pPr>
      <w:keepNext/>
      <w:keepLines/>
      <w:numPr>
        <w:ilvl w:val="2"/>
        <w:numId w:val="3"/>
      </w:numPr>
      <w:outlineLvl w:val="2"/>
    </w:pPr>
    <w:rPr>
      <w:rFonts w:asciiTheme="majorHAnsi" w:eastAsiaTheme="majorEastAsia" w:hAnsiTheme="majorHAnsi" w:cstheme="majorBidi"/>
      <w:b/>
      <w:color w:val="006666"/>
      <w:sz w:val="24"/>
      <w:szCs w:val="24"/>
    </w:rPr>
  </w:style>
  <w:style w:type="paragraph" w:styleId="Heading4">
    <w:name w:val="heading 4"/>
    <w:basedOn w:val="Heading2"/>
    <w:next w:val="Normal"/>
    <w:link w:val="Heading4Char"/>
    <w:autoRedefine/>
    <w:uiPriority w:val="9"/>
    <w:unhideWhenUsed/>
    <w:qFormat/>
    <w:rsid w:val="003436CF"/>
    <w:pPr>
      <w:keepNext/>
      <w:keepLines/>
      <w:numPr>
        <w:ilvl w:val="3"/>
        <w:numId w:val="1"/>
      </w:numPr>
      <w:tabs>
        <w:tab w:val="clear" w:pos="2880"/>
      </w:tabs>
      <w:ind w:left="0" w:firstLine="0"/>
      <w:outlineLvl w:val="3"/>
    </w:pPr>
    <w:rPr>
      <w:rFonts w:asciiTheme="majorHAnsi" w:eastAsia="Aptos" w:hAnsiTheme="majorHAnsi" w:cs="Aptos"/>
    </w:rPr>
  </w:style>
  <w:style w:type="paragraph" w:styleId="Heading5">
    <w:name w:val="heading 5"/>
    <w:basedOn w:val="Heading4"/>
    <w:next w:val="Normal"/>
    <w:link w:val="Heading5Char"/>
    <w:autoRedefine/>
    <w:uiPriority w:val="9"/>
    <w:unhideWhenUsed/>
    <w:qFormat/>
    <w:rsid w:val="003436CF"/>
    <w:pPr>
      <w:numPr>
        <w:ilvl w:val="4"/>
        <w:numId w:val="2"/>
      </w:numPr>
      <w:outlineLvl w:val="4"/>
    </w:pPr>
    <w:rPr>
      <w:rFonts w:ascii="Aptos" w:hAnsi="Aptos"/>
      <w:sz w:val="28"/>
      <w:szCs w:val="28"/>
    </w:rPr>
  </w:style>
  <w:style w:type="paragraph" w:styleId="Heading6">
    <w:name w:val="heading 6"/>
    <w:basedOn w:val="Normal"/>
    <w:next w:val="Normal"/>
    <w:link w:val="Heading6Char"/>
    <w:autoRedefine/>
    <w:uiPriority w:val="9"/>
    <w:semiHidden/>
    <w:unhideWhenUsed/>
    <w:qFormat/>
    <w:rsid w:val="00F8290C"/>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7C1A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A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A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B"/>
    <w:rPr>
      <w:rFonts w:ascii="Aptos Display" w:eastAsia="Aptos" w:hAnsi="Aptos Display" w:cs="Aptos"/>
      <w:b/>
      <w:bCs/>
      <w:color w:val="006666"/>
      <w:sz w:val="36"/>
      <w:szCs w:val="36"/>
    </w:rPr>
  </w:style>
  <w:style w:type="character" w:customStyle="1" w:styleId="Heading2Char">
    <w:name w:val="Heading 2 Char"/>
    <w:basedOn w:val="DefaultParagraphFont"/>
    <w:link w:val="Heading2"/>
    <w:uiPriority w:val="9"/>
    <w:rsid w:val="00AE584B"/>
    <w:rPr>
      <w:rFonts w:ascii="Aptos" w:hAnsi="Aptos"/>
      <w:b/>
      <w:bCs/>
      <w:color w:val="660066"/>
      <w:sz w:val="32"/>
      <w:szCs w:val="32"/>
    </w:rPr>
  </w:style>
  <w:style w:type="paragraph" w:styleId="Title">
    <w:name w:val="Title"/>
    <w:basedOn w:val="Normal"/>
    <w:next w:val="Normal"/>
    <w:link w:val="TitleChar"/>
    <w:autoRedefine/>
    <w:uiPriority w:val="10"/>
    <w:qFormat/>
    <w:rsid w:val="00CC19AC"/>
    <w:pPr>
      <w:jc w:val="center"/>
    </w:pPr>
    <w:rPr>
      <w:rFonts w:asciiTheme="majorHAnsi" w:hAnsiTheme="majorHAnsi"/>
      <w:color w:val="660066"/>
      <w:sz w:val="36"/>
      <w:szCs w:val="36"/>
    </w:rPr>
  </w:style>
  <w:style w:type="character" w:customStyle="1" w:styleId="TitleChar">
    <w:name w:val="Title Char"/>
    <w:basedOn w:val="DefaultParagraphFont"/>
    <w:link w:val="Title"/>
    <w:uiPriority w:val="10"/>
    <w:rsid w:val="00CC19AC"/>
    <w:rPr>
      <w:rFonts w:asciiTheme="majorHAnsi" w:hAnsiTheme="majorHAnsi"/>
      <w:color w:val="660066"/>
      <w:sz w:val="36"/>
      <w:szCs w:val="36"/>
    </w:rPr>
  </w:style>
  <w:style w:type="character" w:customStyle="1" w:styleId="Heading3Char">
    <w:name w:val="Heading 3 Char"/>
    <w:basedOn w:val="DefaultParagraphFont"/>
    <w:link w:val="Heading3"/>
    <w:uiPriority w:val="9"/>
    <w:rsid w:val="00F8290C"/>
    <w:rPr>
      <w:rFonts w:asciiTheme="majorHAnsi" w:eastAsiaTheme="majorEastAsia" w:hAnsiTheme="majorHAnsi" w:cstheme="majorBidi"/>
      <w:b/>
      <w:color w:val="006666"/>
      <w:sz w:val="24"/>
      <w:szCs w:val="24"/>
    </w:rPr>
  </w:style>
  <w:style w:type="character" w:customStyle="1" w:styleId="Heading4Char">
    <w:name w:val="Heading 4 Char"/>
    <w:basedOn w:val="DefaultParagraphFont"/>
    <w:link w:val="Heading4"/>
    <w:uiPriority w:val="9"/>
    <w:rsid w:val="003436CF"/>
    <w:rPr>
      <w:rFonts w:asciiTheme="majorHAnsi" w:eastAsia="Aptos" w:hAnsiTheme="majorHAnsi" w:cs="Aptos"/>
      <w:b/>
      <w:bCs/>
      <w:color w:val="660066"/>
      <w:sz w:val="32"/>
      <w:szCs w:val="32"/>
    </w:rPr>
  </w:style>
  <w:style w:type="paragraph" w:styleId="TOCHeading">
    <w:name w:val="TOC Heading"/>
    <w:basedOn w:val="Heading1"/>
    <w:next w:val="Normal"/>
    <w:uiPriority w:val="39"/>
    <w:unhideWhenUsed/>
    <w:qFormat/>
    <w:rsid w:val="00714E21"/>
    <w:pPr>
      <w:spacing w:line="259" w:lineRule="auto"/>
      <w:outlineLvl w:val="9"/>
    </w:pPr>
    <w:rPr>
      <w:rFonts w:asciiTheme="minorHAnsi" w:eastAsiaTheme="majorEastAsia" w:hAnsiTheme="minorHAnsi" w:cstheme="majorBidi"/>
      <w:color w:val="0F4761" w:themeColor="accent1" w:themeShade="BF"/>
      <w:szCs w:val="32"/>
    </w:rPr>
  </w:style>
  <w:style w:type="character" w:customStyle="1" w:styleId="Heading5Char">
    <w:name w:val="Heading 5 Char"/>
    <w:basedOn w:val="DefaultParagraphFont"/>
    <w:link w:val="Heading5"/>
    <w:uiPriority w:val="9"/>
    <w:rsid w:val="003436CF"/>
    <w:rPr>
      <w:rFonts w:ascii="Aptos" w:eastAsia="Aptos" w:hAnsi="Aptos" w:cs="Aptos"/>
      <w:b/>
      <w:bCs/>
      <w:color w:val="660066"/>
      <w:sz w:val="28"/>
      <w:szCs w:val="28"/>
    </w:rPr>
  </w:style>
  <w:style w:type="character" w:styleId="Hyperlink">
    <w:name w:val="Hyperlink"/>
    <w:basedOn w:val="DefaultParagraphFont"/>
    <w:uiPriority w:val="99"/>
    <w:unhideWhenUsed/>
    <w:qFormat/>
    <w:rsid w:val="00073D27"/>
    <w:rPr>
      <w:color w:val="0000FF"/>
      <w:u w:val="single"/>
    </w:rPr>
  </w:style>
  <w:style w:type="paragraph" w:styleId="FootnoteText">
    <w:name w:val="footnote text"/>
    <w:basedOn w:val="Normal"/>
    <w:link w:val="FootnoteTextChar"/>
    <w:autoRedefine/>
    <w:uiPriority w:val="99"/>
    <w:semiHidden/>
    <w:unhideWhenUsed/>
    <w:qFormat/>
    <w:rsid w:val="00AE584B"/>
    <w:rPr>
      <w:sz w:val="20"/>
      <w:szCs w:val="20"/>
    </w:rPr>
  </w:style>
  <w:style w:type="character" w:customStyle="1" w:styleId="FootnoteTextChar">
    <w:name w:val="Footnote Text Char"/>
    <w:basedOn w:val="DefaultParagraphFont"/>
    <w:link w:val="FootnoteText"/>
    <w:uiPriority w:val="99"/>
    <w:semiHidden/>
    <w:rsid w:val="00AE584B"/>
    <w:rPr>
      <w:sz w:val="20"/>
      <w:szCs w:val="20"/>
    </w:rPr>
  </w:style>
  <w:style w:type="character" w:customStyle="1" w:styleId="Heading6Char">
    <w:name w:val="Heading 6 Char"/>
    <w:basedOn w:val="DefaultParagraphFont"/>
    <w:link w:val="Heading6"/>
    <w:uiPriority w:val="9"/>
    <w:semiHidden/>
    <w:rsid w:val="00F8290C"/>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7C1A48"/>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7C1A48"/>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7C1A48"/>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7C1A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A4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C1A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1A48"/>
    <w:rPr>
      <w:rFonts w:eastAsiaTheme="minorEastAsia"/>
      <w:i/>
      <w:iCs/>
      <w:color w:val="404040" w:themeColor="text1" w:themeTint="BF"/>
      <w:kern w:val="0"/>
      <w14:ligatures w14:val="none"/>
    </w:rPr>
  </w:style>
  <w:style w:type="paragraph" w:styleId="ListParagraph">
    <w:name w:val="List Paragraph"/>
    <w:basedOn w:val="Normal"/>
    <w:uiPriority w:val="34"/>
    <w:qFormat/>
    <w:rsid w:val="007C1A48"/>
    <w:pPr>
      <w:ind w:left="720"/>
      <w:contextualSpacing/>
    </w:pPr>
  </w:style>
  <w:style w:type="character" w:styleId="IntenseEmphasis">
    <w:name w:val="Intense Emphasis"/>
    <w:basedOn w:val="DefaultParagraphFont"/>
    <w:uiPriority w:val="21"/>
    <w:qFormat/>
    <w:rsid w:val="007C1A48"/>
    <w:rPr>
      <w:i/>
      <w:iCs/>
      <w:color w:val="0F4761" w:themeColor="accent1" w:themeShade="BF"/>
    </w:rPr>
  </w:style>
  <w:style w:type="paragraph" w:styleId="IntenseQuote">
    <w:name w:val="Intense Quote"/>
    <w:basedOn w:val="Normal"/>
    <w:next w:val="Normal"/>
    <w:link w:val="IntenseQuoteChar"/>
    <w:uiPriority w:val="30"/>
    <w:qFormat/>
    <w:rsid w:val="007C1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A48"/>
    <w:rPr>
      <w:rFonts w:eastAsiaTheme="minorEastAsia"/>
      <w:i/>
      <w:iCs/>
      <w:color w:val="0F4761" w:themeColor="accent1" w:themeShade="BF"/>
      <w:kern w:val="0"/>
      <w14:ligatures w14:val="none"/>
    </w:rPr>
  </w:style>
  <w:style w:type="character" w:styleId="IntenseReference">
    <w:name w:val="Intense Reference"/>
    <w:basedOn w:val="DefaultParagraphFont"/>
    <w:uiPriority w:val="32"/>
    <w:qFormat/>
    <w:rsid w:val="007C1A48"/>
    <w:rPr>
      <w:b/>
      <w:bCs/>
      <w:smallCaps/>
      <w:color w:val="0F4761" w:themeColor="accent1" w:themeShade="BF"/>
      <w:spacing w:val="5"/>
    </w:rPr>
  </w:style>
  <w:style w:type="table" w:styleId="TableGrid">
    <w:name w:val="Table Grid"/>
    <w:basedOn w:val="TableNormal"/>
    <w:uiPriority w:val="39"/>
    <w:rsid w:val="007C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5321"/>
    <w:rPr>
      <w:color w:val="605E5C"/>
      <w:shd w:val="clear" w:color="auto" w:fill="E1DFDD"/>
    </w:rPr>
  </w:style>
  <w:style w:type="paragraph" w:styleId="Header">
    <w:name w:val="header"/>
    <w:basedOn w:val="Normal"/>
    <w:link w:val="HeaderChar"/>
    <w:uiPriority w:val="99"/>
    <w:unhideWhenUsed/>
    <w:rsid w:val="0071173B"/>
    <w:pPr>
      <w:tabs>
        <w:tab w:val="center" w:pos="4680"/>
        <w:tab w:val="right" w:pos="9360"/>
      </w:tabs>
    </w:pPr>
  </w:style>
  <w:style w:type="character" w:customStyle="1" w:styleId="HeaderChar">
    <w:name w:val="Header Char"/>
    <w:basedOn w:val="DefaultParagraphFont"/>
    <w:link w:val="Header"/>
    <w:uiPriority w:val="99"/>
    <w:rsid w:val="0071173B"/>
    <w:rPr>
      <w:rFonts w:ascii="Aptos" w:hAnsi="Aptos"/>
    </w:rPr>
  </w:style>
  <w:style w:type="paragraph" w:styleId="Footer">
    <w:name w:val="footer"/>
    <w:basedOn w:val="Normal"/>
    <w:link w:val="FooterChar"/>
    <w:uiPriority w:val="99"/>
    <w:unhideWhenUsed/>
    <w:rsid w:val="0071173B"/>
    <w:pPr>
      <w:tabs>
        <w:tab w:val="center" w:pos="4680"/>
        <w:tab w:val="right" w:pos="9360"/>
      </w:tabs>
    </w:pPr>
  </w:style>
  <w:style w:type="character" w:customStyle="1" w:styleId="FooterChar">
    <w:name w:val="Footer Char"/>
    <w:basedOn w:val="DefaultParagraphFont"/>
    <w:link w:val="Footer"/>
    <w:uiPriority w:val="99"/>
    <w:rsid w:val="0071173B"/>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03.20" TargetMode="External"/><Relationship Id="rId5" Type="http://schemas.openxmlformats.org/officeDocument/2006/relationships/styles" Target="styles.xml"/><Relationship Id="rId10" Type="http://schemas.openxmlformats.org/officeDocument/2006/relationships/hyperlink" Target="https://www.ecfr.gov/current/title-34/part-303/section-303.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ce556be0-c294-43de-afe1-0aa1eca57840" xsi:nil="true"/>
    <AddedtoTab xmlns="ce556be0-c294-43de-afe1-0aa1eca57840">true</AddedtoTab>
    <Notes xmlns="ce556be0-c294-43de-afe1-0aa1eca57840" xsi:nil="true"/>
    <lcf76f155ced4ddcb4097134ff3c332f xmlns="ce556be0-c294-43de-afe1-0aa1eca57840">
      <Terms xmlns="http://schemas.microsoft.com/office/infopath/2007/PartnerControls"/>
    </lcf76f155ced4ddcb4097134ff3c332f>
    <ReportType xmlns="ce556be0-c294-43de-afe1-0aa1eca57840" xsi:nil="true"/>
    <Region xmlns="ce556be0-c294-43de-afe1-0aa1eca57840" xsi:nil="true"/>
    <TaxCatchAll xmlns="93a2e542-a916-4ab4-932f-f5e77b6555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1F836-8A89-42D2-95A6-E6F61B088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6be0-c294-43de-afe1-0aa1eca57840"/>
    <ds:schemaRef ds:uri="93a2e542-a916-4ab4-932f-f5e77b655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05BB3-84F0-44EC-A64B-C2A41E8BC81C}">
  <ds:schemaRefs>
    <ds:schemaRef ds:uri="http://schemas.microsoft.com/office/2006/metadata/properties"/>
    <ds:schemaRef ds:uri="http://schemas.microsoft.com/office/infopath/2007/PartnerControls"/>
    <ds:schemaRef ds:uri="ce556be0-c294-43de-afe1-0aa1eca57840"/>
    <ds:schemaRef ds:uri="93a2e542-a916-4ab4-932f-f5e77b65553e"/>
  </ds:schemaRefs>
</ds:datastoreItem>
</file>

<file path=customXml/itemProps3.xml><?xml version="1.0" encoding="utf-8"?>
<ds:datastoreItem xmlns:ds="http://schemas.openxmlformats.org/officeDocument/2006/customXml" ds:itemID="{63DECDB2-1F04-41FB-9311-D37FE272A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426</Words>
  <Characters>2432</Characters>
  <Application>Microsoft Office Word</Application>
  <DocSecurity>0</DocSecurity>
  <Lines>20</Lines>
  <Paragraphs>5</Paragraphs>
  <ScaleCrop>false</ScaleCrop>
  <Company>VITA</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102</cp:revision>
  <cp:lastPrinted>2024-10-08T14:19:00Z</cp:lastPrinted>
  <dcterms:created xsi:type="dcterms:W3CDTF">2024-08-14T20:27:00Z</dcterms:created>
  <dcterms:modified xsi:type="dcterms:W3CDTF">2024-10-09T15:59:00Z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0x01010044A873F1237D914497DFA1E8D85B5035</vt:lpwstr>
  </property>
  <property fmtid="{D5CDD505-2E9C-101B-9397-08002B2CF9AE}" pid="3" name="MediaServiceImageTags">
    <vt:lpwstr/>
  </property>
</Properties>
</file>