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274A5" w14:textId="4C908C94" w:rsidR="00C06E28" w:rsidRDefault="00C06E28" w:rsidP="00C06E28">
      <w:pPr>
        <w:pStyle w:val="Heading5"/>
        <w:numPr>
          <w:ilvl w:val="0"/>
          <w:numId w:val="0"/>
        </w:numPr>
      </w:pPr>
      <w:bookmarkStart w:id="0" w:name="_Toc172891728"/>
      <w:r>
        <w:t xml:space="preserve">POSM Protocol </w:t>
      </w:r>
      <w:bookmarkEnd w:id="0"/>
      <w:r w:rsidR="00DB57F3">
        <w:t>R1-0</w:t>
      </w:r>
      <w:r w:rsidR="00FA2167">
        <w:t>8</w:t>
      </w:r>
      <w:r w:rsidR="00ED17D2">
        <w:t xml:space="preserve">: Local </w:t>
      </w:r>
      <w:r w:rsidR="00AC55FA">
        <w:t>Self-Monitoring</w:t>
      </w:r>
    </w:p>
    <w:p w14:paraId="41A1A0ED" w14:textId="77777777" w:rsidR="00C06E28" w:rsidRDefault="00C06E28" w:rsidP="00C06E28"/>
    <w:tbl>
      <w:tblPr>
        <w:tblW w:w="9360" w:type="dxa"/>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4A0" w:firstRow="1" w:lastRow="0" w:firstColumn="1" w:lastColumn="0" w:noHBand="0" w:noVBand="1"/>
      </w:tblPr>
      <w:tblGrid>
        <w:gridCol w:w="2880"/>
        <w:gridCol w:w="6480"/>
      </w:tblGrid>
      <w:tr w:rsidR="00C06E28" w:rsidRPr="00DA68DB" w14:paraId="61D684A9" w14:textId="77777777" w:rsidTr="009F0254">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0A78CC5" w14:textId="23435698" w:rsidR="00C06E28" w:rsidRPr="00DA68DB" w:rsidRDefault="00AC55FA" w:rsidP="00753B4E">
            <w:pPr>
              <w:contextualSpacing/>
              <w:textAlignment w:val="baseline"/>
              <w:rPr>
                <w:rFonts w:asciiTheme="minorHAnsi" w:eastAsia="Times New Roman" w:hAnsiTheme="minorHAnsi" w:cs="Segoe UI"/>
                <w:kern w:val="0"/>
                <w14:ligatures w14:val="none"/>
              </w:rPr>
            </w:pPr>
            <w:r w:rsidRPr="00DA68DB">
              <w:rPr>
                <w:rFonts w:asciiTheme="minorHAnsi" w:eastAsia="Times New Roman" w:hAnsiTheme="minorHAnsi" w:cs="Segoe UI"/>
                <w:kern w:val="0"/>
                <w14:ligatures w14:val="none"/>
              </w:rPr>
              <w:t>Category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66D05840" w14:textId="695DD2C4" w:rsidR="00C06E28" w:rsidRPr="00DA68DB" w:rsidRDefault="00C06E28" w:rsidP="00753B4E">
            <w:pPr>
              <w:contextualSpacing/>
              <w:textAlignment w:val="baseline"/>
              <w:rPr>
                <w:rFonts w:asciiTheme="minorHAnsi" w:eastAsia="Times New Roman" w:hAnsiTheme="minorHAnsi" w:cs="Segoe UI"/>
                <w:kern w:val="0"/>
                <w14:ligatures w14:val="none"/>
              </w:rPr>
            </w:pPr>
            <w:r w:rsidRPr="00DA68DB">
              <w:rPr>
                <w:rFonts w:asciiTheme="minorHAnsi" w:eastAsia="Times New Roman" w:hAnsiTheme="minorHAnsi" w:cs="Segoe UI"/>
                <w:kern w:val="0"/>
                <w14:ligatures w14:val="none"/>
              </w:rPr>
              <w:t>Administration</w:t>
            </w:r>
          </w:p>
        </w:tc>
      </w:tr>
      <w:tr w:rsidR="00044364" w:rsidRPr="00DA68DB" w14:paraId="3286A6FB" w14:textId="77777777" w:rsidTr="009F0254">
        <w:trPr>
          <w:trHeight w:val="315"/>
        </w:trPr>
        <w:tc>
          <w:tcPr>
            <w:tcW w:w="2880" w:type="dxa"/>
            <w:tcBorders>
              <w:top w:val="single" w:sz="6" w:space="0" w:color="auto"/>
              <w:left w:val="single" w:sz="6" w:space="0" w:color="auto"/>
              <w:bottom w:val="single" w:sz="6" w:space="0" w:color="auto"/>
              <w:right w:val="single" w:sz="6" w:space="0" w:color="auto"/>
            </w:tcBorders>
            <w:shd w:val="clear" w:color="auto" w:fill="auto"/>
          </w:tcPr>
          <w:p w14:paraId="252775A8" w14:textId="3601A71E" w:rsidR="00044364" w:rsidRPr="00DA68DB" w:rsidRDefault="00044364" w:rsidP="00753B4E">
            <w:pPr>
              <w:contextualSpacing/>
              <w:textAlignment w:val="baseline"/>
              <w:rPr>
                <w:rFonts w:asciiTheme="minorHAnsi" w:eastAsia="Times New Roman" w:hAnsiTheme="minorHAnsi" w:cs="Segoe UI"/>
                <w:kern w:val="0"/>
                <w14:ligatures w14:val="none"/>
              </w:rPr>
            </w:pPr>
            <w:r>
              <w:rPr>
                <w:rFonts w:asciiTheme="minorHAnsi" w:eastAsia="Times New Roman" w:hAnsiTheme="minorHAnsi" w:cs="Segoe UI"/>
                <w:kern w:val="0"/>
                <w14:ligatures w14:val="none"/>
              </w:rPr>
              <w:t>Purpose</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75D975BC" w14:textId="60D659B0" w:rsidR="00044364" w:rsidRPr="00044364" w:rsidRDefault="00050534" w:rsidP="39BA96D1">
            <w:pPr>
              <w:textAlignment w:val="baseline"/>
              <w:rPr>
                <w:rFonts w:asciiTheme="minorHAnsi" w:eastAsia="Times New Roman" w:hAnsiTheme="minorHAnsi" w:cs="Segoe UI"/>
                <w:color w:val="212529"/>
                <w:kern w:val="0"/>
                <w14:ligatures w14:val="none"/>
              </w:rPr>
            </w:pPr>
            <w:r>
              <w:rPr>
                <w:rFonts w:eastAsia="Aptos" w:cs="Aptos"/>
                <w:color w:val="000000" w:themeColor="text1"/>
              </w:rPr>
              <w:t xml:space="preserve">Localities </w:t>
            </w:r>
            <w:r w:rsidR="00A214D9">
              <w:rPr>
                <w:rFonts w:eastAsia="Aptos" w:cs="Aptos"/>
                <w:color w:val="000000" w:themeColor="text1"/>
              </w:rPr>
              <w:t xml:space="preserve">monitor local Part C compliance and </w:t>
            </w:r>
            <w:r w:rsidR="00D6605F">
              <w:rPr>
                <w:rFonts w:eastAsia="Aptos" w:cs="Aptos"/>
                <w:color w:val="000000" w:themeColor="text1"/>
              </w:rPr>
              <w:t>strive to facilitate continuous local improvement to better serve the needs of infants and toddlers with disabilit</w:t>
            </w:r>
            <w:r w:rsidR="00323608">
              <w:rPr>
                <w:rFonts w:eastAsia="Aptos" w:cs="Aptos"/>
                <w:color w:val="000000" w:themeColor="text1"/>
              </w:rPr>
              <w:t>ies and their families.</w:t>
            </w:r>
          </w:p>
        </w:tc>
      </w:tr>
      <w:tr w:rsidR="00C06E28" w:rsidRPr="00DA68DB" w14:paraId="311F8BBE" w14:textId="77777777" w:rsidTr="009F0254">
        <w:trPr>
          <w:trHeight w:val="315"/>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DAC396F" w14:textId="5451206C" w:rsidR="00C06E28" w:rsidRPr="00DA68DB" w:rsidRDefault="00283347" w:rsidP="00753B4E">
            <w:pPr>
              <w:contextualSpacing/>
              <w:textAlignment w:val="baseline"/>
              <w:rPr>
                <w:rFonts w:asciiTheme="minorHAnsi" w:eastAsia="Times New Roman" w:hAnsiTheme="minorHAnsi" w:cs="Segoe UI"/>
                <w:kern w:val="0"/>
                <w14:ligatures w14:val="none"/>
              </w:rPr>
            </w:pPr>
            <w:r>
              <w:rPr>
                <w:rFonts w:asciiTheme="minorHAnsi" w:eastAsia="Times New Roman" w:hAnsiTheme="minorHAnsi" w:cs="Segoe UI"/>
                <w:kern w:val="0"/>
                <w14:ligatures w14:val="none"/>
              </w:rPr>
              <w:t>IDEA</w:t>
            </w:r>
            <w:r w:rsidR="00044364">
              <w:rPr>
                <w:rFonts w:asciiTheme="minorHAnsi" w:eastAsia="Times New Roman" w:hAnsiTheme="minorHAnsi" w:cs="Segoe UI"/>
                <w:kern w:val="0"/>
                <w14:ligatures w14:val="none"/>
              </w:rPr>
              <w:t xml:space="preserve"> Foundation(s)</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32442B2" w14:textId="3FB9A05C" w:rsidR="00F020D7" w:rsidRPr="00044364" w:rsidRDefault="00A20843" w:rsidP="39BA96D1">
            <w:pPr>
              <w:textAlignment w:val="baseline"/>
              <w:rPr>
                <w:rFonts w:eastAsia="Aptos" w:cs="Aptos"/>
                <w:kern w:val="0"/>
                <w14:ligatures w14:val="none"/>
              </w:rPr>
            </w:pPr>
            <w:hyperlink r:id="rId9">
              <w:r>
                <w:rPr>
                  <w:rStyle w:val="Hyperlink"/>
                  <w:rFonts w:eastAsia="Aptos" w:cs="Aptos"/>
                </w:rPr>
                <w:t>34 CFR § 303.700</w:t>
              </w:r>
            </w:hyperlink>
            <w:r w:rsidR="40716777" w:rsidRPr="39BA96D1">
              <w:rPr>
                <w:rFonts w:eastAsia="Aptos" w:cs="Aptos"/>
                <w:color w:val="000000" w:themeColor="text1"/>
              </w:rPr>
              <w:t xml:space="preserve"> </w:t>
            </w:r>
            <w:r w:rsidR="00B81108">
              <w:rPr>
                <w:rFonts w:eastAsia="Aptos" w:cs="Aptos"/>
                <w:color w:val="000000" w:themeColor="text1"/>
              </w:rPr>
              <w:t xml:space="preserve">– </w:t>
            </w:r>
            <w:r w:rsidR="40716777" w:rsidRPr="39BA96D1">
              <w:rPr>
                <w:rFonts w:eastAsia="Aptos" w:cs="Aptos"/>
                <w:color w:val="000000" w:themeColor="text1"/>
              </w:rPr>
              <w:t xml:space="preserve">State </w:t>
            </w:r>
            <w:r w:rsidR="00323608">
              <w:rPr>
                <w:rFonts w:eastAsia="Aptos" w:cs="Aptos"/>
                <w:color w:val="000000" w:themeColor="text1"/>
              </w:rPr>
              <w:t>m</w:t>
            </w:r>
            <w:r w:rsidR="40716777" w:rsidRPr="39BA96D1">
              <w:rPr>
                <w:rFonts w:eastAsia="Aptos" w:cs="Aptos"/>
                <w:color w:val="000000" w:themeColor="text1"/>
              </w:rPr>
              <w:t xml:space="preserve">onitoring and </w:t>
            </w:r>
            <w:r w:rsidR="00323608">
              <w:rPr>
                <w:rFonts w:eastAsia="Aptos" w:cs="Aptos"/>
                <w:color w:val="000000" w:themeColor="text1"/>
              </w:rPr>
              <w:t>e</w:t>
            </w:r>
            <w:r w:rsidR="40716777" w:rsidRPr="39BA96D1">
              <w:rPr>
                <w:rFonts w:eastAsia="Aptos" w:cs="Aptos"/>
                <w:color w:val="000000" w:themeColor="text1"/>
              </w:rPr>
              <w:t>nforcement</w:t>
            </w:r>
          </w:p>
        </w:tc>
      </w:tr>
      <w:tr w:rsidR="00D430D8" w:rsidRPr="00DA68DB" w14:paraId="15D0A19C" w14:textId="77777777" w:rsidTr="009F0254">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tcPr>
          <w:p w14:paraId="6669598C" w14:textId="759823E5" w:rsidR="00D430D8" w:rsidRPr="00DA68DB" w:rsidRDefault="00857C6A" w:rsidP="00753B4E">
            <w:pPr>
              <w:contextualSpacing/>
              <w:textAlignment w:val="baseline"/>
              <w:rPr>
                <w:rFonts w:asciiTheme="minorHAnsi" w:eastAsia="Times New Roman" w:hAnsiTheme="minorHAnsi" w:cs="Segoe UI"/>
                <w:kern w:val="0"/>
                <w14:ligatures w14:val="none"/>
              </w:rPr>
            </w:pPr>
            <w:r>
              <w:rPr>
                <w:rFonts w:asciiTheme="minorHAnsi" w:eastAsia="Times New Roman" w:hAnsiTheme="minorHAnsi" w:cs="Segoe UI"/>
                <w:kern w:val="0"/>
                <w14:ligatures w14:val="none"/>
              </w:rPr>
              <w:t xml:space="preserve">Local Part C Contract </w:t>
            </w:r>
            <w:r w:rsidR="000628FC" w:rsidRPr="00DA68DB">
              <w:rPr>
                <w:rFonts w:asciiTheme="minorHAnsi" w:eastAsia="Times New Roman" w:hAnsiTheme="minorHAnsi" w:cs="Segoe UI"/>
                <w:kern w:val="0"/>
                <w14:ligatures w14:val="none"/>
              </w:rPr>
              <w:t>Requirement(s)</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6DD48670" w14:textId="7874EFBA" w:rsidR="00471C4A" w:rsidRPr="00DA68DB" w:rsidRDefault="00C4729D" w:rsidP="00DA68DB">
            <w:pPr>
              <w:pStyle w:val="ListParagraph"/>
              <w:numPr>
                <w:ilvl w:val="0"/>
                <w:numId w:val="10"/>
              </w:numPr>
              <w:textAlignment w:val="baseline"/>
              <w:rPr>
                <w:rFonts w:asciiTheme="minorHAnsi" w:eastAsia="Times New Roman" w:hAnsiTheme="minorHAnsi" w:cs="Segoe UI"/>
                <w:color w:val="212529"/>
                <w:kern w:val="0"/>
                <w14:ligatures w14:val="none"/>
              </w:rPr>
            </w:pPr>
            <w:r w:rsidRPr="00DA68DB">
              <w:rPr>
                <w:rFonts w:asciiTheme="minorHAnsi" w:eastAsia="Times New Roman" w:hAnsiTheme="minorHAnsi" w:cs="Segoe UI"/>
                <w:color w:val="212529"/>
                <w:kern w:val="0"/>
                <w14:ligatures w14:val="none"/>
              </w:rPr>
              <w:t xml:space="preserve">2.1.2.b.(7) – </w:t>
            </w:r>
            <w:r w:rsidR="00D430D8" w:rsidRPr="00DA68DB">
              <w:rPr>
                <w:rFonts w:asciiTheme="minorHAnsi" w:eastAsia="Times New Roman" w:hAnsiTheme="minorHAnsi" w:cs="Segoe UI"/>
                <w:color w:val="212529"/>
                <w:kern w:val="0"/>
                <w14:ligatures w14:val="none"/>
              </w:rPr>
              <w:t xml:space="preserve">Working in partnership with the DBHDS to ensure compliance with federal and state regulatory requirements; including monthly monitoring by the local system to assure timely initiation of services and the </w:t>
            </w:r>
            <w:r w:rsidR="00471C4A" w:rsidRPr="00DA68DB">
              <w:rPr>
                <w:rFonts w:asciiTheme="minorHAnsi" w:eastAsia="Times New Roman" w:hAnsiTheme="minorHAnsi" w:cs="Segoe UI"/>
                <w:color w:val="212529"/>
                <w:kern w:val="0"/>
                <w14:ligatures w14:val="none"/>
              </w:rPr>
              <w:t>45-day</w:t>
            </w:r>
            <w:r w:rsidR="00D430D8" w:rsidRPr="00DA68DB">
              <w:rPr>
                <w:rFonts w:asciiTheme="minorHAnsi" w:eastAsia="Times New Roman" w:hAnsiTheme="minorHAnsi" w:cs="Segoe UI"/>
                <w:color w:val="212529"/>
                <w:kern w:val="0"/>
                <w14:ligatures w14:val="none"/>
              </w:rPr>
              <w:t xml:space="preserve"> timeline; at least quarterly reviews of records to assure that transition requirements are met; and at least quarterly monitoring of timelines and accuracy of data</w:t>
            </w:r>
            <w:r w:rsidR="00C84C9D" w:rsidRPr="00DA68DB">
              <w:rPr>
                <w:rFonts w:asciiTheme="minorHAnsi" w:eastAsia="Times New Roman" w:hAnsiTheme="minorHAnsi" w:cs="Segoe UI"/>
                <w:color w:val="212529"/>
                <w:kern w:val="0"/>
                <w14:ligatures w14:val="none"/>
              </w:rPr>
              <w:t>.</w:t>
            </w:r>
          </w:p>
          <w:p w14:paraId="729D40EC" w14:textId="13767A52" w:rsidR="00F020D7" w:rsidRPr="00CA3C71" w:rsidRDefault="00C84C9D" w:rsidP="00CA3C71">
            <w:pPr>
              <w:pStyle w:val="ListParagraph"/>
              <w:numPr>
                <w:ilvl w:val="0"/>
                <w:numId w:val="10"/>
              </w:numPr>
              <w:textAlignment w:val="baseline"/>
              <w:rPr>
                <w:rFonts w:asciiTheme="minorHAnsi" w:eastAsia="Times New Roman" w:hAnsiTheme="minorHAnsi" w:cs="Segoe UI"/>
                <w:color w:val="212529"/>
                <w:kern w:val="0"/>
                <w14:ligatures w14:val="none"/>
              </w:rPr>
            </w:pPr>
            <w:r w:rsidRPr="00DA68DB">
              <w:rPr>
                <w:rFonts w:asciiTheme="minorHAnsi" w:eastAsia="Times New Roman" w:hAnsiTheme="minorHAnsi" w:cs="Segoe UI"/>
                <w:color w:val="212529"/>
                <w:kern w:val="0"/>
                <w14:ligatures w14:val="none"/>
              </w:rPr>
              <w:t xml:space="preserve">2.1.2.b.(8) – </w:t>
            </w:r>
            <w:r w:rsidR="00D430D8" w:rsidRPr="00DA68DB">
              <w:rPr>
                <w:rFonts w:asciiTheme="minorHAnsi" w:eastAsia="Times New Roman" w:hAnsiTheme="minorHAnsi" w:cs="Segoe UI"/>
                <w:color w:val="212529"/>
                <w:kern w:val="0"/>
                <w14:ligatures w14:val="none"/>
              </w:rPr>
              <w:t>Facilitating continuous local system improvement through collection, use and interpretation of data (e.g. record reviews, state early intervention data system, etc.), including at least quarterly review of sufficient records that verify that all practitioners, including service coordinators and contracted staff, are correctly implementing eligibility requirements, assessment and evaluation requirements, IFSP requirements,  procedural safeguard requirements, documentation requirements and providing evidence based supports and services</w:t>
            </w:r>
            <w:r w:rsidRPr="00DA68DB">
              <w:rPr>
                <w:rFonts w:asciiTheme="minorHAnsi" w:eastAsia="Times New Roman" w:hAnsiTheme="minorHAnsi" w:cs="Segoe UI"/>
                <w:color w:val="212529"/>
                <w:kern w:val="0"/>
                <w14:ligatures w14:val="none"/>
              </w:rPr>
              <w:t>.</w:t>
            </w:r>
          </w:p>
        </w:tc>
      </w:tr>
      <w:tr w:rsidR="00C06E28" w:rsidRPr="00DA68DB" w14:paraId="4D398489" w14:textId="77777777" w:rsidTr="009F0254">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240D323" w14:textId="77777777" w:rsidR="00C06E28" w:rsidRPr="00DA68DB" w:rsidRDefault="00C06E28" w:rsidP="00753B4E">
            <w:pPr>
              <w:contextualSpacing/>
              <w:textAlignment w:val="baseline"/>
              <w:rPr>
                <w:rFonts w:asciiTheme="minorHAnsi" w:eastAsia="Times New Roman" w:hAnsiTheme="minorHAnsi" w:cs="Segoe UI"/>
                <w:kern w:val="0"/>
                <w14:ligatures w14:val="none"/>
              </w:rPr>
            </w:pPr>
            <w:r w:rsidRPr="00DA68DB">
              <w:rPr>
                <w:rFonts w:asciiTheme="minorHAnsi" w:eastAsia="Times New Roman" w:hAnsiTheme="minorHAnsi" w:cs="Segoe UI"/>
                <w:kern w:val="0"/>
                <w14:ligatures w14:val="none"/>
              </w:rPr>
              <w:t>Responsible Party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2BF0BAC3" w14:textId="75A61831" w:rsidR="00C06E28" w:rsidRPr="00DA68DB" w:rsidRDefault="00C06E28" w:rsidP="00753B4E">
            <w:pPr>
              <w:contextualSpacing/>
              <w:textAlignment w:val="baseline"/>
              <w:rPr>
                <w:rFonts w:asciiTheme="minorHAnsi" w:eastAsia="Times New Roman" w:hAnsiTheme="minorHAnsi" w:cs="Segoe UI"/>
                <w:kern w:val="0"/>
                <w14:ligatures w14:val="none"/>
              </w:rPr>
            </w:pPr>
            <w:r w:rsidRPr="00DA68DB">
              <w:rPr>
                <w:rFonts w:asciiTheme="minorHAnsi" w:eastAsia="Times New Roman" w:hAnsiTheme="minorHAnsi" w:cs="Segoe UI"/>
                <w:color w:val="212529"/>
                <w:kern w:val="0"/>
                <w14:ligatures w14:val="none"/>
              </w:rPr>
              <w:t xml:space="preserve">Part C </w:t>
            </w:r>
            <w:r w:rsidR="00044364">
              <w:rPr>
                <w:rFonts w:asciiTheme="minorHAnsi" w:eastAsia="Times New Roman" w:hAnsiTheme="minorHAnsi" w:cs="Segoe UI"/>
                <w:color w:val="212529"/>
                <w:kern w:val="0"/>
                <w14:ligatures w14:val="none"/>
              </w:rPr>
              <w:t>m</w:t>
            </w:r>
            <w:r w:rsidRPr="00DA68DB">
              <w:rPr>
                <w:rFonts w:asciiTheme="minorHAnsi" w:eastAsia="Times New Roman" w:hAnsiTheme="minorHAnsi" w:cs="Segoe UI"/>
                <w:color w:val="212529"/>
                <w:kern w:val="0"/>
                <w14:ligatures w14:val="none"/>
              </w:rPr>
              <w:t xml:space="preserve">onitoring </w:t>
            </w:r>
            <w:r w:rsidR="00044364">
              <w:rPr>
                <w:rFonts w:asciiTheme="minorHAnsi" w:eastAsia="Times New Roman" w:hAnsiTheme="minorHAnsi" w:cs="Segoe UI"/>
                <w:color w:val="212529"/>
                <w:kern w:val="0"/>
                <w14:ligatures w14:val="none"/>
              </w:rPr>
              <w:t>t</w:t>
            </w:r>
            <w:r w:rsidRPr="00DA68DB">
              <w:rPr>
                <w:rFonts w:asciiTheme="minorHAnsi" w:eastAsia="Times New Roman" w:hAnsiTheme="minorHAnsi" w:cs="Segoe UI"/>
                <w:color w:val="212529"/>
                <w:kern w:val="0"/>
                <w14:ligatures w14:val="none"/>
              </w:rPr>
              <w:t>eam</w:t>
            </w:r>
          </w:p>
        </w:tc>
      </w:tr>
      <w:tr w:rsidR="00C06E28" w:rsidRPr="00DA68DB" w14:paraId="7991F318" w14:textId="77777777" w:rsidTr="009F0254">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29E505D" w14:textId="77777777" w:rsidR="00C06E28" w:rsidRPr="00DA68DB" w:rsidRDefault="00C06E28" w:rsidP="00753B4E">
            <w:pPr>
              <w:contextualSpacing/>
              <w:textAlignment w:val="baseline"/>
              <w:rPr>
                <w:rFonts w:asciiTheme="minorHAnsi" w:eastAsia="Times New Roman" w:hAnsiTheme="minorHAnsi" w:cs="Segoe UI"/>
                <w:kern w:val="0"/>
                <w14:ligatures w14:val="none"/>
              </w:rPr>
            </w:pPr>
            <w:r w:rsidRPr="00DA68DB">
              <w:rPr>
                <w:rFonts w:asciiTheme="minorHAnsi" w:eastAsia="Times New Roman" w:hAnsiTheme="minorHAnsi" w:cs="Segoe UI"/>
                <w:kern w:val="0"/>
                <w14:ligatures w14:val="none"/>
              </w:rPr>
              <w:t>Frequency and Method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EDCD986" w14:textId="142443E9" w:rsidR="00C06E28" w:rsidRPr="005D5D0D" w:rsidRDefault="005D5D0D" w:rsidP="005D5D0D">
            <w:pPr>
              <w:textAlignment w:val="baseline"/>
              <w:rPr>
                <w:rFonts w:asciiTheme="minorHAnsi" w:eastAsia="Times New Roman" w:hAnsiTheme="minorHAnsi" w:cs="Segoe UI"/>
                <w:kern w:val="0"/>
                <w14:ligatures w14:val="none"/>
              </w:rPr>
            </w:pPr>
            <w:r w:rsidRPr="005D5D0D">
              <w:rPr>
                <w:rFonts w:asciiTheme="minorHAnsi" w:eastAsiaTheme="minorEastAsia" w:hAnsiTheme="minorHAnsi"/>
                <w:color w:val="212529"/>
                <w:kern w:val="0"/>
                <w14:ligatures w14:val="none"/>
              </w:rPr>
              <w:t>1x/POSM cycle; desk audit and interview(s)</w:t>
            </w:r>
          </w:p>
        </w:tc>
      </w:tr>
      <w:tr w:rsidR="00C06E28" w:rsidRPr="00DA68DB" w14:paraId="16F792C3" w14:textId="77777777" w:rsidTr="009F0254">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6F27E503" w14:textId="77777777" w:rsidR="00C06E28" w:rsidRPr="00DA68DB" w:rsidRDefault="00C06E28" w:rsidP="00753B4E">
            <w:pPr>
              <w:contextualSpacing/>
              <w:textAlignment w:val="baseline"/>
              <w:rPr>
                <w:rFonts w:asciiTheme="minorHAnsi" w:eastAsia="Times New Roman" w:hAnsiTheme="minorHAnsi" w:cs="Segoe UI"/>
                <w:kern w:val="0"/>
                <w14:ligatures w14:val="none"/>
              </w:rPr>
            </w:pPr>
            <w:r w:rsidRPr="00DA68DB">
              <w:rPr>
                <w:rFonts w:asciiTheme="minorHAnsi" w:eastAsia="Times New Roman" w:hAnsiTheme="minorHAnsi" w:cs="Segoe UI"/>
                <w:kern w:val="0"/>
                <w14:ligatures w14:val="none"/>
              </w:rPr>
              <w:t>Data Source(s)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E8E9A31" w14:textId="243CE745" w:rsidR="00BE3EDB" w:rsidRPr="00DA68DB" w:rsidRDefault="00BE3EDB" w:rsidP="39BA96D1">
            <w:pPr>
              <w:pStyle w:val="ListParagraph"/>
              <w:numPr>
                <w:ilvl w:val="0"/>
                <w:numId w:val="12"/>
              </w:numPr>
              <w:textAlignment w:val="baseline"/>
              <w:rPr>
                <w:rFonts w:asciiTheme="minorHAnsi" w:eastAsia="Times New Roman" w:hAnsiTheme="minorHAnsi" w:cs="Segoe UI"/>
                <w:kern w:val="0"/>
                <w14:ligatures w14:val="none"/>
              </w:rPr>
            </w:pPr>
            <w:r w:rsidRPr="39BA96D1">
              <w:rPr>
                <w:rFonts w:asciiTheme="minorHAnsi" w:eastAsia="Times New Roman" w:hAnsiTheme="minorHAnsi" w:cs="Segoe UI"/>
                <w:kern w:val="0"/>
                <w14:ligatures w14:val="none"/>
              </w:rPr>
              <w:t>Documentation provided by locality [e.g., local policies and procedures</w:t>
            </w:r>
            <w:r w:rsidR="1C271C85" w:rsidRPr="39BA96D1">
              <w:rPr>
                <w:rFonts w:asciiTheme="minorHAnsi" w:eastAsia="Times New Roman" w:hAnsiTheme="minorHAnsi" w:cs="Segoe UI"/>
                <w:kern w:val="0"/>
                <w14:ligatures w14:val="none"/>
              </w:rPr>
              <w:t>]</w:t>
            </w:r>
          </w:p>
          <w:p w14:paraId="043F99AF" w14:textId="614C1355" w:rsidR="00C06E28" w:rsidRPr="00DA68DB" w:rsidRDefault="00BE3EDB" w:rsidP="00DA68DB">
            <w:pPr>
              <w:pStyle w:val="ListParagraph"/>
              <w:numPr>
                <w:ilvl w:val="0"/>
                <w:numId w:val="12"/>
              </w:numPr>
              <w:textAlignment w:val="baseline"/>
              <w:rPr>
                <w:rFonts w:asciiTheme="minorHAnsi" w:eastAsia="Times New Roman" w:hAnsiTheme="minorHAnsi" w:cs="Segoe UI"/>
                <w:kern w:val="0"/>
                <w14:ligatures w14:val="none"/>
              </w:rPr>
            </w:pPr>
            <w:r w:rsidRPr="00DA68DB">
              <w:rPr>
                <w:rFonts w:asciiTheme="minorHAnsi" w:eastAsia="Times New Roman" w:hAnsiTheme="minorHAnsi" w:cs="Segoe UI"/>
                <w:kern w:val="0"/>
                <w14:ligatures w14:val="none"/>
              </w:rPr>
              <w:t>Interview(s)</w:t>
            </w:r>
          </w:p>
        </w:tc>
      </w:tr>
      <w:tr w:rsidR="00C06E28" w:rsidRPr="00DA68DB" w14:paraId="52CDCB12" w14:textId="77777777" w:rsidTr="009F0254">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2C6018E" w14:textId="77777777" w:rsidR="00C06E28" w:rsidRPr="00DA68DB" w:rsidRDefault="00C06E28" w:rsidP="00753B4E">
            <w:pPr>
              <w:contextualSpacing/>
              <w:textAlignment w:val="baseline"/>
              <w:rPr>
                <w:rFonts w:asciiTheme="minorHAnsi" w:eastAsia="Times New Roman" w:hAnsiTheme="minorHAnsi" w:cs="Segoe UI"/>
                <w:kern w:val="0"/>
                <w14:ligatures w14:val="none"/>
              </w:rPr>
            </w:pPr>
            <w:r w:rsidRPr="00DA68DB">
              <w:rPr>
                <w:rFonts w:asciiTheme="minorHAnsi" w:eastAsia="Times New Roman" w:hAnsiTheme="minorHAnsi" w:cs="Segoe UI"/>
                <w:kern w:val="0"/>
                <w14:ligatures w14:val="none"/>
              </w:rPr>
              <w:t>Amount of Data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1852BBC" w14:textId="55A6E423" w:rsidR="006A70A1" w:rsidRPr="00B53971" w:rsidRDefault="006A70A1" w:rsidP="006A70A1">
            <w:pPr>
              <w:pStyle w:val="ListParagraph"/>
              <w:numPr>
                <w:ilvl w:val="0"/>
                <w:numId w:val="13"/>
              </w:numPr>
              <w:textAlignment w:val="baseline"/>
              <w:rPr>
                <w:rFonts w:asciiTheme="minorHAnsi" w:eastAsiaTheme="minorEastAsia" w:hAnsiTheme="minorHAnsi"/>
                <w:kern w:val="0"/>
                <w14:ligatures w14:val="none"/>
              </w:rPr>
            </w:pPr>
            <w:r>
              <w:t>Documentation varies by locality; identified during POSM planning call w/ locality and throughout discovery</w:t>
            </w:r>
          </w:p>
          <w:p w14:paraId="71367FB2" w14:textId="279B8EA2" w:rsidR="002C4834" w:rsidRPr="00DA68DB" w:rsidRDefault="00DA536F" w:rsidP="006A70A1">
            <w:pPr>
              <w:pStyle w:val="ListParagraph"/>
              <w:numPr>
                <w:ilvl w:val="0"/>
                <w:numId w:val="13"/>
              </w:numPr>
              <w:textAlignment w:val="baseline"/>
              <w:rPr>
                <w:rFonts w:asciiTheme="minorHAnsi" w:eastAsia="Times New Roman" w:hAnsiTheme="minorHAnsi" w:cs="Segoe UI"/>
                <w:kern w:val="0"/>
                <w14:ligatures w14:val="none"/>
              </w:rPr>
            </w:pPr>
            <w:r w:rsidRPr="00D0794F">
              <w:rPr>
                <w:rFonts w:eastAsia="Times New Roman" w:cs="Segoe UI"/>
                <w:kern w:val="0"/>
                <w14:ligatures w14:val="none"/>
              </w:rPr>
              <w:t>Interview(s); varies by locality; determined by Part C monitoring team with LSM input to ensure local representativeness across families and providers</w:t>
            </w:r>
          </w:p>
        </w:tc>
      </w:tr>
      <w:tr w:rsidR="00C06E28" w:rsidRPr="00DA68DB" w14:paraId="1ED3CD88" w14:textId="77777777" w:rsidTr="009F0254">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BF451AC" w14:textId="77777777" w:rsidR="00C06E28" w:rsidRPr="00DA68DB" w:rsidRDefault="00C06E28" w:rsidP="00753B4E">
            <w:pPr>
              <w:contextualSpacing/>
              <w:textAlignment w:val="baseline"/>
              <w:rPr>
                <w:rFonts w:asciiTheme="minorHAnsi" w:eastAsia="Times New Roman" w:hAnsiTheme="minorHAnsi" w:cs="Segoe UI"/>
                <w:kern w:val="0"/>
                <w14:ligatures w14:val="none"/>
              </w:rPr>
            </w:pPr>
            <w:r w:rsidRPr="00DA68DB">
              <w:rPr>
                <w:rFonts w:asciiTheme="minorHAnsi" w:eastAsia="Times New Roman" w:hAnsiTheme="minorHAnsi" w:cs="Segoe UI"/>
                <w:kern w:val="0"/>
                <w14:ligatures w14:val="none"/>
              </w:rPr>
              <w:t>Compliance Criteria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2648CFDA" w14:textId="77777777" w:rsidR="0007464C" w:rsidRDefault="0007464C" w:rsidP="0007464C">
            <w:pPr>
              <w:textAlignment w:val="baseline"/>
              <w:rPr>
                <w:rFonts w:asciiTheme="minorHAnsi" w:eastAsiaTheme="minorEastAsia" w:hAnsiTheme="minorHAnsi"/>
              </w:rPr>
            </w:pPr>
            <w:r w:rsidRPr="406F407D">
              <w:rPr>
                <w:rFonts w:asciiTheme="minorHAnsi" w:eastAsiaTheme="minorEastAsia" w:hAnsiTheme="minorHAnsi"/>
                <w:kern w:val="0"/>
                <w14:ligatures w14:val="none"/>
              </w:rPr>
              <w:t>Evidence of requirement(s) (above) as demonstrated by:</w:t>
            </w:r>
          </w:p>
          <w:p w14:paraId="525AB423" w14:textId="77777777" w:rsidR="0007464C" w:rsidRPr="00CA7C88" w:rsidRDefault="0007464C" w:rsidP="0007464C">
            <w:pPr>
              <w:pStyle w:val="ListParagraph"/>
              <w:numPr>
                <w:ilvl w:val="0"/>
                <w:numId w:val="14"/>
              </w:numPr>
              <w:textAlignment w:val="baseline"/>
              <w:rPr>
                <w:rFonts w:asciiTheme="minorHAnsi" w:eastAsiaTheme="minorEastAsia" w:hAnsiTheme="minorHAnsi"/>
                <w:color w:val="212529"/>
              </w:rPr>
            </w:pPr>
            <w:r>
              <w:rPr>
                <w:rFonts w:asciiTheme="minorHAnsi" w:eastAsiaTheme="minorEastAsia" w:hAnsiTheme="minorHAnsi"/>
              </w:rPr>
              <w:t>Written policies and procedures that delineate responsibility and provide guidance for ensuring contract requirements are met.</w:t>
            </w:r>
          </w:p>
          <w:p w14:paraId="15C417DA" w14:textId="7CBD89AA" w:rsidR="00D57521" w:rsidRPr="00DA68DB" w:rsidRDefault="0007464C" w:rsidP="0007464C">
            <w:pPr>
              <w:pStyle w:val="ListParagraph"/>
              <w:numPr>
                <w:ilvl w:val="0"/>
                <w:numId w:val="14"/>
              </w:numPr>
              <w:textAlignment w:val="baseline"/>
              <w:rPr>
                <w:rFonts w:asciiTheme="minorHAnsi" w:eastAsia="Times New Roman" w:hAnsiTheme="minorHAnsi" w:cs="Segoe UI"/>
                <w:color w:val="212529"/>
                <w:kern w:val="0"/>
                <w14:ligatures w14:val="none"/>
              </w:rPr>
            </w:pPr>
            <w:r>
              <w:rPr>
                <w:rFonts w:asciiTheme="minorHAnsi" w:eastAsiaTheme="minorEastAsia" w:hAnsiTheme="minorHAnsi"/>
                <w:color w:val="212529"/>
              </w:rPr>
              <w:lastRenderedPageBreak/>
              <w:t>Verbal confirmation and clarification of policies and procedures through interviews.</w:t>
            </w:r>
          </w:p>
        </w:tc>
      </w:tr>
      <w:tr w:rsidR="00C06E28" w:rsidRPr="00DA68DB" w14:paraId="5C2141B1" w14:textId="77777777" w:rsidTr="009F0254">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E808AE3" w14:textId="6FBE873B" w:rsidR="00C06E28" w:rsidRPr="00DA68DB" w:rsidRDefault="002D319F" w:rsidP="00753B4E">
            <w:pPr>
              <w:contextualSpacing/>
              <w:textAlignment w:val="baseline"/>
              <w:rPr>
                <w:rFonts w:asciiTheme="minorHAnsi" w:eastAsia="Times New Roman" w:hAnsiTheme="minorHAnsi" w:cs="Segoe UI"/>
                <w:kern w:val="0"/>
                <w14:ligatures w14:val="none"/>
              </w:rPr>
            </w:pPr>
            <w:r>
              <w:rPr>
                <w:rFonts w:asciiTheme="minorHAnsi" w:eastAsia="Times New Roman" w:hAnsiTheme="minorHAnsi" w:cs="Segoe UI"/>
                <w:kern w:val="0"/>
                <w14:ligatures w14:val="none"/>
              </w:rPr>
              <w:lastRenderedPageBreak/>
              <w:t>Monitoring Summary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645CEDF2" w14:textId="03AD9574" w:rsidR="00C06E28" w:rsidRPr="00051D1E" w:rsidRDefault="00ED4A5D" w:rsidP="39BA96D1">
            <w:pPr>
              <w:shd w:val="clear" w:color="auto" w:fill="FFFFFF" w:themeFill="background1"/>
              <w:contextualSpacing/>
              <w:textAlignment w:val="baseline"/>
              <w:rPr>
                <w:rFonts w:eastAsia="Aptos" w:cs="Aptos"/>
                <w:color w:val="000000" w:themeColor="text1"/>
                <w:kern w:val="0"/>
                <w14:ligatures w14:val="none"/>
              </w:rPr>
            </w:pPr>
            <w:r w:rsidRPr="406F407D">
              <w:rPr>
                <w:rFonts w:asciiTheme="minorHAnsi" w:eastAsiaTheme="minorEastAsia" w:hAnsiTheme="minorHAnsi"/>
              </w:rPr>
              <w:t>T</w:t>
            </w:r>
            <w:r w:rsidRPr="406F407D">
              <w:rPr>
                <w:rFonts w:eastAsia="Aptos" w:cs="Aptos"/>
                <w:color w:val="000000" w:themeColor="text1"/>
              </w:rPr>
              <w:t xml:space="preserve">he Part C monitoring team will review </w:t>
            </w:r>
            <w:r>
              <w:rPr>
                <w:rFonts w:eastAsia="Aptos" w:cs="Aptos"/>
                <w:color w:val="000000" w:themeColor="text1"/>
              </w:rPr>
              <w:t xml:space="preserve">documentation provided by the locality that supports meeting contract requirements. </w:t>
            </w:r>
            <w:r w:rsidR="00E77C1B">
              <w:t>During each interview, team members are listening for commonalities of experience that support case review findings and/or inconsistencies that may indicate the need for further technical assistance and follow-up.</w:t>
            </w:r>
          </w:p>
        </w:tc>
      </w:tr>
      <w:tr w:rsidR="008303AC" w:rsidRPr="00DA68DB" w14:paraId="3BCB8F96" w14:textId="77777777" w:rsidTr="009F0254">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tcPr>
          <w:p w14:paraId="582E555A" w14:textId="5246C834" w:rsidR="008303AC" w:rsidRPr="00DA68DB" w:rsidRDefault="009F0254" w:rsidP="00753B4E">
            <w:pPr>
              <w:contextualSpacing/>
              <w:textAlignment w:val="baseline"/>
              <w:rPr>
                <w:rFonts w:asciiTheme="minorHAnsi" w:eastAsia="Times New Roman" w:hAnsiTheme="minorHAnsi" w:cs="Segoe UI"/>
                <w:kern w:val="0"/>
                <w14:ligatures w14:val="none"/>
              </w:rPr>
            </w:pPr>
            <w:r>
              <w:rPr>
                <w:rFonts w:asciiTheme="minorHAnsi" w:eastAsia="Times New Roman" w:hAnsiTheme="minorHAnsi" w:cs="Segoe UI"/>
                <w:kern w:val="0"/>
                <w14:ligatures w14:val="none"/>
              </w:rPr>
              <w:t>Required Action(s)</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49F8FEF1" w14:textId="633A28D0" w:rsidR="004913E0" w:rsidRDefault="004913E0" w:rsidP="0027339B">
            <w:pPr>
              <w:pStyle w:val="ListParagraph"/>
              <w:numPr>
                <w:ilvl w:val="0"/>
                <w:numId w:val="19"/>
              </w:numPr>
            </w:pPr>
            <w:r>
              <w:t xml:space="preserve">If </w:t>
            </w:r>
            <w:r>
              <w:t xml:space="preserve">documentation and interviews </w:t>
            </w:r>
            <w:r w:rsidR="0027339B">
              <w:t xml:space="preserve">meet compliance criteria, </w:t>
            </w:r>
            <w:r>
              <w:t>no further action(s) required.</w:t>
            </w:r>
          </w:p>
          <w:p w14:paraId="7A63B883" w14:textId="65A48F6C" w:rsidR="004913E0" w:rsidRDefault="0027339B" w:rsidP="0027339B">
            <w:pPr>
              <w:shd w:val="clear" w:color="auto" w:fill="FFFFFF" w:themeFill="background1"/>
              <w:ind w:left="360"/>
              <w:textAlignment w:val="baseline"/>
              <w:rPr>
                <w:rFonts w:eastAsia="Aptos" w:cs="Aptos"/>
                <w:color w:val="000000" w:themeColor="text1"/>
              </w:rPr>
            </w:pPr>
            <w:r>
              <w:rPr>
                <w:rFonts w:eastAsia="Aptos" w:cs="Aptos"/>
                <w:color w:val="000000" w:themeColor="text1"/>
              </w:rPr>
              <w:t>-OR-</w:t>
            </w:r>
          </w:p>
          <w:p w14:paraId="048D4CE5" w14:textId="0A481756" w:rsidR="009D1C6B" w:rsidRPr="0027339B" w:rsidRDefault="009D1C6B" w:rsidP="0027339B">
            <w:pPr>
              <w:pStyle w:val="ListParagraph"/>
              <w:numPr>
                <w:ilvl w:val="0"/>
                <w:numId w:val="19"/>
              </w:numPr>
              <w:shd w:val="clear" w:color="auto" w:fill="FFFFFF" w:themeFill="background1"/>
              <w:textAlignment w:val="baseline"/>
              <w:rPr>
                <w:rFonts w:asciiTheme="minorHAnsi" w:eastAsia="Times New Roman" w:hAnsiTheme="minorHAnsi" w:cs="Segoe UI"/>
                <w:kern w:val="0"/>
                <w14:ligatures w14:val="none"/>
              </w:rPr>
            </w:pPr>
            <w:r>
              <w:t xml:space="preserve">If </w:t>
            </w:r>
            <w:r w:rsidR="004913E0" w:rsidRPr="0027339B">
              <w:rPr>
                <w:rFonts w:eastAsia="Aptos" w:cs="Aptos"/>
                <w:color w:val="000000" w:themeColor="text1"/>
              </w:rPr>
              <w:t>documentation</w:t>
            </w:r>
            <w:r w:rsidR="004D0A0E" w:rsidRPr="0027339B">
              <w:rPr>
                <w:rFonts w:eastAsia="Aptos" w:cs="Aptos"/>
                <w:color w:val="000000" w:themeColor="text1"/>
              </w:rPr>
              <w:t xml:space="preserve"> and/or interviews do not </w:t>
            </w:r>
            <w:r w:rsidR="004D0A0E" w:rsidRPr="0027339B">
              <w:rPr>
                <w:rFonts w:eastAsia="Aptos" w:cs="Aptos"/>
                <w:color w:val="000000" w:themeColor="text1"/>
              </w:rPr>
              <w:t>meet compliance criteria</w:t>
            </w:r>
            <w:r>
              <w:t>,</w:t>
            </w:r>
            <w:r w:rsidR="00D2443D">
              <w:t xml:space="preserve"> </w:t>
            </w:r>
            <w:r>
              <w:t xml:space="preserve">the locality must within ninety (90) days of notification of finding(s) develop and subsequently implement </w:t>
            </w:r>
            <w:r w:rsidR="00AC4DDB">
              <w:t xml:space="preserve">procedures to meet </w:t>
            </w:r>
            <w:r w:rsidR="00A36CC1">
              <w:t>requirements.</w:t>
            </w:r>
          </w:p>
        </w:tc>
      </w:tr>
      <w:tr w:rsidR="00DA68DB" w:rsidRPr="00DA68DB" w14:paraId="440CBF34" w14:textId="77777777" w:rsidTr="009F0254">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tcPr>
          <w:p w14:paraId="1AFC57E1" w14:textId="3AF08F4B" w:rsidR="00DA68DB" w:rsidRPr="00DA68DB" w:rsidRDefault="00DA68DB" w:rsidP="00753B4E">
            <w:pPr>
              <w:contextualSpacing/>
              <w:textAlignment w:val="baseline"/>
              <w:rPr>
                <w:rFonts w:asciiTheme="minorHAnsi" w:eastAsia="Times New Roman" w:hAnsiTheme="minorHAnsi" w:cs="Segoe UI"/>
                <w:kern w:val="0"/>
                <w14:ligatures w14:val="none"/>
              </w:rPr>
            </w:pPr>
            <w:r w:rsidRPr="00DA68DB">
              <w:rPr>
                <w:rFonts w:asciiTheme="minorHAnsi" w:eastAsia="Times New Roman" w:hAnsiTheme="minorHAnsi" w:cs="Segoe UI"/>
                <w:kern w:val="0"/>
                <w14:ligatures w14:val="none"/>
              </w:rPr>
              <w:t>Revision History</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5DC40550" w14:textId="6CB570CC" w:rsidR="00DA68DB" w:rsidRPr="00051D1E" w:rsidRDefault="00051D1E" w:rsidP="00051D1E">
            <w:pPr>
              <w:shd w:val="clear" w:color="auto" w:fill="FFFFFF" w:themeFill="background1"/>
              <w:textAlignment w:val="baseline"/>
              <w:rPr>
                <w:rFonts w:asciiTheme="minorHAnsi" w:eastAsia="Times New Roman" w:hAnsiTheme="minorHAnsi" w:cs="Segoe UI"/>
                <w:kern w:val="0"/>
                <w14:ligatures w14:val="none"/>
              </w:rPr>
            </w:pPr>
            <w:r>
              <w:rPr>
                <w:rFonts w:asciiTheme="minorHAnsi" w:eastAsia="Times New Roman" w:hAnsiTheme="minorHAnsi" w:cs="Segoe UI"/>
                <w:kern w:val="0"/>
                <w14:ligatures w14:val="none"/>
              </w:rPr>
              <w:t>Original: 2024-10-10</w:t>
            </w:r>
          </w:p>
        </w:tc>
      </w:tr>
    </w:tbl>
    <w:p w14:paraId="6318FC7B" w14:textId="77777777" w:rsidR="00ED17D2" w:rsidRDefault="00ED17D2" w:rsidP="007C2808"/>
    <w:sectPr w:rsidR="00ED17D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9F0E1" w14:textId="77777777" w:rsidR="00412D4A" w:rsidRDefault="00412D4A" w:rsidP="007C2808">
      <w:r>
        <w:separator/>
      </w:r>
    </w:p>
  </w:endnote>
  <w:endnote w:type="continuationSeparator" w:id="0">
    <w:p w14:paraId="3A6406C9" w14:textId="77777777" w:rsidR="00412D4A" w:rsidRDefault="00412D4A" w:rsidP="007C2808">
      <w:r>
        <w:continuationSeparator/>
      </w:r>
    </w:p>
  </w:endnote>
  <w:endnote w:type="continuationNotice" w:id="1">
    <w:p w14:paraId="0645AF73" w14:textId="77777777" w:rsidR="00412D4A" w:rsidRDefault="00412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4E944" w14:textId="77777777" w:rsidR="000662C8" w:rsidRDefault="000662C8">
    <w:pPr>
      <w:pStyle w:val="Footer"/>
      <w:rPr>
        <w:sz w:val="20"/>
        <w:szCs w:val="20"/>
      </w:rPr>
    </w:pPr>
  </w:p>
  <w:p w14:paraId="3CC87543" w14:textId="363A05FF" w:rsidR="007C2808" w:rsidRDefault="007C2808">
    <w:pPr>
      <w:pStyle w:val="Footer"/>
      <w:rPr>
        <w:sz w:val="20"/>
        <w:szCs w:val="20"/>
      </w:rPr>
    </w:pPr>
    <w:r>
      <w:rPr>
        <w:sz w:val="20"/>
        <w:szCs w:val="20"/>
      </w:rPr>
      <w:t>ITCVA GSM Framework</w:t>
    </w:r>
  </w:p>
  <w:p w14:paraId="7DE052A0" w14:textId="133208FE" w:rsidR="007C2808" w:rsidRDefault="007C2808">
    <w:pPr>
      <w:pStyle w:val="Footer"/>
      <w:rPr>
        <w:sz w:val="20"/>
        <w:szCs w:val="20"/>
      </w:rPr>
    </w:pPr>
    <w:r>
      <w:rPr>
        <w:sz w:val="20"/>
        <w:szCs w:val="20"/>
      </w:rPr>
      <w:t>Core Activity 5 – POSM</w:t>
    </w:r>
  </w:p>
  <w:p w14:paraId="4CD60546" w14:textId="77777777" w:rsidR="000662C8" w:rsidRDefault="007C2808">
    <w:pPr>
      <w:pStyle w:val="Footer"/>
      <w:rPr>
        <w:sz w:val="20"/>
        <w:szCs w:val="20"/>
      </w:rPr>
    </w:pPr>
    <w:r>
      <w:rPr>
        <w:sz w:val="20"/>
        <w:szCs w:val="20"/>
      </w:rPr>
      <w:t xml:space="preserve">POSM </w:t>
    </w:r>
    <w:r w:rsidR="000662C8">
      <w:rPr>
        <w:sz w:val="20"/>
        <w:szCs w:val="20"/>
      </w:rPr>
      <w:t>Protocols</w:t>
    </w:r>
  </w:p>
  <w:p w14:paraId="098AF009" w14:textId="69C36EF8" w:rsidR="007C2808" w:rsidRPr="007C2808" w:rsidRDefault="000662C8">
    <w:pPr>
      <w:pStyle w:val="Footer"/>
      <w:rPr>
        <w:sz w:val="20"/>
        <w:szCs w:val="20"/>
      </w:rPr>
    </w:pPr>
    <w:r>
      <w:rPr>
        <w:sz w:val="20"/>
        <w:szCs w:val="20"/>
      </w:rPr>
      <w:t>2024-</w:t>
    </w:r>
    <w:r w:rsidR="00051D1E">
      <w:rPr>
        <w:sz w:val="20"/>
        <w:szCs w:val="20"/>
      </w:rPr>
      <w:t>10-1</w:t>
    </w:r>
    <w:r w:rsidR="001156AF">
      <w:rPr>
        <w:sz w:val="20"/>
        <w:szCs w:val="20"/>
      </w:rPr>
      <w:t>0</w:t>
    </w:r>
    <w:r w:rsidR="007C2808" w:rsidRPr="007C2808">
      <w:rPr>
        <w:sz w:val="20"/>
        <w:szCs w:val="20"/>
      </w:rPr>
      <w:ptab w:relativeTo="margin" w:alignment="center" w:leader="none"/>
    </w:r>
    <w:r w:rsidR="007C2808" w:rsidRPr="007C2808">
      <w:rPr>
        <w:sz w:val="20"/>
        <w:szCs w:val="20"/>
      </w:rPr>
      <w:ptab w:relativeTo="margin" w:alignment="right" w:leader="none"/>
    </w:r>
    <w:r w:rsidRPr="000662C8">
      <w:rPr>
        <w:sz w:val="20"/>
        <w:szCs w:val="20"/>
      </w:rPr>
      <w:fldChar w:fldCharType="begin"/>
    </w:r>
    <w:r w:rsidRPr="000662C8">
      <w:rPr>
        <w:sz w:val="20"/>
        <w:szCs w:val="20"/>
      </w:rPr>
      <w:instrText xml:space="preserve"> PAGE   \* MERGEFORMAT </w:instrText>
    </w:r>
    <w:r w:rsidRPr="000662C8">
      <w:rPr>
        <w:sz w:val="20"/>
        <w:szCs w:val="20"/>
      </w:rPr>
      <w:fldChar w:fldCharType="separate"/>
    </w:r>
    <w:r w:rsidRPr="000662C8">
      <w:rPr>
        <w:noProof/>
        <w:sz w:val="20"/>
        <w:szCs w:val="20"/>
      </w:rPr>
      <w:t>1</w:t>
    </w:r>
    <w:r w:rsidRPr="000662C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3495F" w14:textId="77777777" w:rsidR="00412D4A" w:rsidRDefault="00412D4A" w:rsidP="007C2808">
      <w:r>
        <w:separator/>
      </w:r>
    </w:p>
  </w:footnote>
  <w:footnote w:type="continuationSeparator" w:id="0">
    <w:p w14:paraId="0F416249" w14:textId="77777777" w:rsidR="00412D4A" w:rsidRDefault="00412D4A" w:rsidP="007C2808">
      <w:r>
        <w:continuationSeparator/>
      </w:r>
    </w:p>
  </w:footnote>
  <w:footnote w:type="continuationNotice" w:id="1">
    <w:p w14:paraId="5312ACA7" w14:textId="77777777" w:rsidR="00412D4A" w:rsidRDefault="00412D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32B"/>
    <w:multiLevelType w:val="hybridMultilevel"/>
    <w:tmpl w:val="1DDCD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B61A6"/>
    <w:multiLevelType w:val="hybridMultilevel"/>
    <w:tmpl w:val="DD5CB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2314F1"/>
    <w:multiLevelType w:val="hybridMultilevel"/>
    <w:tmpl w:val="05DE7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61C183"/>
    <w:multiLevelType w:val="multilevel"/>
    <w:tmpl w:val="C55E2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4DB10E"/>
    <w:multiLevelType w:val="multilevel"/>
    <w:tmpl w:val="2EF48C7C"/>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75253"/>
    <w:multiLevelType w:val="hybridMultilevel"/>
    <w:tmpl w:val="F752C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5853D9"/>
    <w:multiLevelType w:val="hybridMultilevel"/>
    <w:tmpl w:val="673AB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021582"/>
    <w:multiLevelType w:val="hybridMultilevel"/>
    <w:tmpl w:val="93280F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141BE8"/>
    <w:multiLevelType w:val="hybridMultilevel"/>
    <w:tmpl w:val="B284E0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73ABE3"/>
    <w:multiLevelType w:val="multilevel"/>
    <w:tmpl w:val="D11E1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6D342E"/>
    <w:multiLevelType w:val="multilevel"/>
    <w:tmpl w:val="FA1EF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1056DAE"/>
    <w:multiLevelType w:val="hybridMultilevel"/>
    <w:tmpl w:val="FEC80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228DF2"/>
    <w:multiLevelType w:val="multilevel"/>
    <w:tmpl w:val="F4E0D3DA"/>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D74F40"/>
    <w:multiLevelType w:val="hybridMultilevel"/>
    <w:tmpl w:val="32182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C44ED2"/>
    <w:multiLevelType w:val="multilevel"/>
    <w:tmpl w:val="3C1ED8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2604E3"/>
    <w:multiLevelType w:val="multilevel"/>
    <w:tmpl w:val="81A8AF92"/>
    <w:lvl w:ilvl="0">
      <w:start w:val="1"/>
      <w:numFmt w:val="upperLetter"/>
      <w:suff w:val="space"/>
      <w:lvlText w:val="Sec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upperLetter"/>
      <w:suff w:val="nothing"/>
      <w:lvlText w:val="Appendix %4: "/>
      <w:lvlJc w:val="left"/>
      <w:pPr>
        <w:ind w:left="360" w:firstLine="0"/>
      </w:pPr>
    </w:lvl>
    <w:lvl w:ilvl="4">
      <w:start w:val="1"/>
      <w:numFmt w:val="none"/>
      <w:pStyle w:val="Heading5"/>
      <w:suff w:val="nothing"/>
      <w:lvlText w:val="SPP/APR Protocol C-"/>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6BE1F0F"/>
    <w:multiLevelType w:val="hybridMultilevel"/>
    <w:tmpl w:val="97DA19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46494D"/>
    <w:multiLevelType w:val="multilevel"/>
    <w:tmpl w:val="B5FCF414"/>
    <w:lvl w:ilvl="0">
      <w:start w:val="1"/>
      <w:numFmt w:val="upperLetter"/>
      <w:pStyle w:val="Heading1"/>
      <w:suff w:val="space"/>
      <w:lvlText w:val="Section %1:"/>
      <w:lvlJc w:val="left"/>
      <w:pPr>
        <w:ind w:left="0" w:firstLine="0"/>
      </w:pPr>
      <w:rPr>
        <w:rFonts w:asciiTheme="majorHAnsi" w:hAnsiTheme="majorHAnsi" w:hint="default"/>
      </w:rPr>
    </w:lvl>
    <w:lvl w:ilvl="1">
      <w:start w:val="1"/>
      <w:numFmt w:val="none"/>
      <w:lvlRestart w:val="0"/>
      <w:pStyle w:val="Heading2"/>
      <w:suff w:val="nothing"/>
      <w:lvlText w:val=""/>
      <w:lvlJc w:val="left"/>
      <w:pPr>
        <w:ind w:left="0"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upperLetter"/>
      <w:lvlRestart w:val="0"/>
      <w:suff w:val="nothing"/>
      <w:lvlText w:val="Appendix %4: "/>
      <w:lvlJc w:val="left"/>
      <w:pPr>
        <w:ind w:left="0" w:firstLine="0"/>
      </w:pPr>
      <w:rPr>
        <w:rFonts w:hint="default"/>
      </w:rPr>
    </w:lvl>
    <w:lvl w:ilvl="4">
      <w:start w:val="1"/>
      <w:numFmt w:val="none"/>
      <w:lvlRestart w:val="0"/>
      <w:suff w:val="nothing"/>
      <w:lvlText w:val="SPP/APR Protocol C-"/>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9A61070"/>
    <w:multiLevelType w:val="multilevel"/>
    <w:tmpl w:val="A308E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27156655">
    <w:abstractNumId w:val="3"/>
  </w:num>
  <w:num w:numId="2" w16cid:durableId="1811315250">
    <w:abstractNumId w:val="18"/>
  </w:num>
  <w:num w:numId="3" w16cid:durableId="272521623">
    <w:abstractNumId w:val="4"/>
  </w:num>
  <w:num w:numId="4" w16cid:durableId="714892862">
    <w:abstractNumId w:val="9"/>
  </w:num>
  <w:num w:numId="5" w16cid:durableId="1660960369">
    <w:abstractNumId w:val="14"/>
  </w:num>
  <w:num w:numId="6" w16cid:durableId="1050882023">
    <w:abstractNumId w:val="12"/>
  </w:num>
  <w:num w:numId="7" w16cid:durableId="399451937">
    <w:abstractNumId w:val="10"/>
  </w:num>
  <w:num w:numId="8" w16cid:durableId="1469591627">
    <w:abstractNumId w:val="15"/>
  </w:num>
  <w:num w:numId="9" w16cid:durableId="1427926149">
    <w:abstractNumId w:val="17"/>
  </w:num>
  <w:num w:numId="10" w16cid:durableId="2082603195">
    <w:abstractNumId w:val="6"/>
  </w:num>
  <w:num w:numId="11" w16cid:durableId="2087413667">
    <w:abstractNumId w:val="5"/>
  </w:num>
  <w:num w:numId="12" w16cid:durableId="1512332919">
    <w:abstractNumId w:val="13"/>
  </w:num>
  <w:num w:numId="13" w16cid:durableId="1868372704">
    <w:abstractNumId w:val="8"/>
  </w:num>
  <w:num w:numId="14" w16cid:durableId="1927572279">
    <w:abstractNumId w:val="16"/>
  </w:num>
  <w:num w:numId="15" w16cid:durableId="1325008608">
    <w:abstractNumId w:val="0"/>
  </w:num>
  <w:num w:numId="16" w16cid:durableId="1273249289">
    <w:abstractNumId w:val="1"/>
  </w:num>
  <w:num w:numId="17" w16cid:durableId="1970813875">
    <w:abstractNumId w:val="2"/>
  </w:num>
  <w:num w:numId="18" w16cid:durableId="890582387">
    <w:abstractNumId w:val="7"/>
  </w:num>
  <w:num w:numId="19" w16cid:durableId="182847009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28"/>
    <w:rsid w:val="000041CA"/>
    <w:rsid w:val="00022D53"/>
    <w:rsid w:val="00044364"/>
    <w:rsid w:val="00050534"/>
    <w:rsid w:val="00051D1E"/>
    <w:rsid w:val="000628FC"/>
    <w:rsid w:val="0006328E"/>
    <w:rsid w:val="000662C8"/>
    <w:rsid w:val="00073CEF"/>
    <w:rsid w:val="00073D27"/>
    <w:rsid w:val="0007464C"/>
    <w:rsid w:val="00111B75"/>
    <w:rsid w:val="001156AF"/>
    <w:rsid w:val="00150AE8"/>
    <w:rsid w:val="001C172E"/>
    <w:rsid w:val="001C216C"/>
    <w:rsid w:val="001F05C3"/>
    <w:rsid w:val="001F7EDE"/>
    <w:rsid w:val="00202F17"/>
    <w:rsid w:val="00211DC5"/>
    <w:rsid w:val="00227714"/>
    <w:rsid w:val="002504D4"/>
    <w:rsid w:val="002521F9"/>
    <w:rsid w:val="0027339B"/>
    <w:rsid w:val="00283347"/>
    <w:rsid w:val="00293B5A"/>
    <w:rsid w:val="00293DAD"/>
    <w:rsid w:val="002C4834"/>
    <w:rsid w:val="002C6304"/>
    <w:rsid w:val="002D319F"/>
    <w:rsid w:val="002F3932"/>
    <w:rsid w:val="002F5977"/>
    <w:rsid w:val="00323608"/>
    <w:rsid w:val="00334E7F"/>
    <w:rsid w:val="003436CF"/>
    <w:rsid w:val="003528A9"/>
    <w:rsid w:val="003618E6"/>
    <w:rsid w:val="00364C55"/>
    <w:rsid w:val="00374B5E"/>
    <w:rsid w:val="003F688F"/>
    <w:rsid w:val="00403828"/>
    <w:rsid w:val="00412D4A"/>
    <w:rsid w:val="0042503E"/>
    <w:rsid w:val="00445986"/>
    <w:rsid w:val="00455DA4"/>
    <w:rsid w:val="00471C4A"/>
    <w:rsid w:val="0047359F"/>
    <w:rsid w:val="0047607B"/>
    <w:rsid w:val="004913E0"/>
    <w:rsid w:val="004B34AE"/>
    <w:rsid w:val="004C3A1F"/>
    <w:rsid w:val="004D0A0E"/>
    <w:rsid w:val="004D3FB9"/>
    <w:rsid w:val="004E5C52"/>
    <w:rsid w:val="004E77C2"/>
    <w:rsid w:val="004F3D41"/>
    <w:rsid w:val="005441B4"/>
    <w:rsid w:val="005B5D38"/>
    <w:rsid w:val="005C3B4F"/>
    <w:rsid w:val="005D21F0"/>
    <w:rsid w:val="005D5D0D"/>
    <w:rsid w:val="005E5694"/>
    <w:rsid w:val="005F7C0F"/>
    <w:rsid w:val="00617614"/>
    <w:rsid w:val="00641DD4"/>
    <w:rsid w:val="00694930"/>
    <w:rsid w:val="006A70A1"/>
    <w:rsid w:val="00714E21"/>
    <w:rsid w:val="0071737B"/>
    <w:rsid w:val="007176DC"/>
    <w:rsid w:val="00720248"/>
    <w:rsid w:val="0073588A"/>
    <w:rsid w:val="00784436"/>
    <w:rsid w:val="007858A2"/>
    <w:rsid w:val="0079554D"/>
    <w:rsid w:val="007C2808"/>
    <w:rsid w:val="007C2DE7"/>
    <w:rsid w:val="007E678C"/>
    <w:rsid w:val="007F01F9"/>
    <w:rsid w:val="008303AC"/>
    <w:rsid w:val="00846761"/>
    <w:rsid w:val="00857C6A"/>
    <w:rsid w:val="00884429"/>
    <w:rsid w:val="00890824"/>
    <w:rsid w:val="00893218"/>
    <w:rsid w:val="008978FB"/>
    <w:rsid w:val="008A6BA8"/>
    <w:rsid w:val="008B3D73"/>
    <w:rsid w:val="0090322E"/>
    <w:rsid w:val="0090448D"/>
    <w:rsid w:val="0092191C"/>
    <w:rsid w:val="0092429F"/>
    <w:rsid w:val="00990478"/>
    <w:rsid w:val="0099587C"/>
    <w:rsid w:val="009A7979"/>
    <w:rsid w:val="009B2739"/>
    <w:rsid w:val="009D1C6B"/>
    <w:rsid w:val="009E55C3"/>
    <w:rsid w:val="009F0254"/>
    <w:rsid w:val="00A20843"/>
    <w:rsid w:val="00A214D9"/>
    <w:rsid w:val="00A30FCB"/>
    <w:rsid w:val="00A36CC1"/>
    <w:rsid w:val="00A962BB"/>
    <w:rsid w:val="00AC4DDB"/>
    <w:rsid w:val="00AC55FA"/>
    <w:rsid w:val="00AC57CB"/>
    <w:rsid w:val="00AD644B"/>
    <w:rsid w:val="00AE1661"/>
    <w:rsid w:val="00AE584B"/>
    <w:rsid w:val="00AE6E8E"/>
    <w:rsid w:val="00B40653"/>
    <w:rsid w:val="00B74244"/>
    <w:rsid w:val="00B80B32"/>
    <w:rsid w:val="00B81108"/>
    <w:rsid w:val="00BA4174"/>
    <w:rsid w:val="00BE3EDB"/>
    <w:rsid w:val="00BE5B5C"/>
    <w:rsid w:val="00BE69A9"/>
    <w:rsid w:val="00C06E28"/>
    <w:rsid w:val="00C12365"/>
    <w:rsid w:val="00C4729D"/>
    <w:rsid w:val="00C84C9D"/>
    <w:rsid w:val="00CA3C71"/>
    <w:rsid w:val="00CC19AC"/>
    <w:rsid w:val="00CD027E"/>
    <w:rsid w:val="00D2443D"/>
    <w:rsid w:val="00D4134D"/>
    <w:rsid w:val="00D430D8"/>
    <w:rsid w:val="00D57521"/>
    <w:rsid w:val="00D620DE"/>
    <w:rsid w:val="00D6605F"/>
    <w:rsid w:val="00D94B3D"/>
    <w:rsid w:val="00DA0262"/>
    <w:rsid w:val="00DA51B8"/>
    <w:rsid w:val="00DA536F"/>
    <w:rsid w:val="00DA68DB"/>
    <w:rsid w:val="00DB57F3"/>
    <w:rsid w:val="00DE5138"/>
    <w:rsid w:val="00E15CC2"/>
    <w:rsid w:val="00E77C1B"/>
    <w:rsid w:val="00E80936"/>
    <w:rsid w:val="00E846D1"/>
    <w:rsid w:val="00E913D9"/>
    <w:rsid w:val="00ED17D2"/>
    <w:rsid w:val="00ED4A5D"/>
    <w:rsid w:val="00F020D7"/>
    <w:rsid w:val="00F12D85"/>
    <w:rsid w:val="00F322AF"/>
    <w:rsid w:val="00F8290C"/>
    <w:rsid w:val="00FA2167"/>
    <w:rsid w:val="00FA51D7"/>
    <w:rsid w:val="00FD563B"/>
    <w:rsid w:val="0311EBF8"/>
    <w:rsid w:val="06EA7AFE"/>
    <w:rsid w:val="0923AAA0"/>
    <w:rsid w:val="0ACE3B9C"/>
    <w:rsid w:val="11362F08"/>
    <w:rsid w:val="13B877AF"/>
    <w:rsid w:val="1416964E"/>
    <w:rsid w:val="142225B1"/>
    <w:rsid w:val="16291400"/>
    <w:rsid w:val="188050E3"/>
    <w:rsid w:val="18B50590"/>
    <w:rsid w:val="1C271C85"/>
    <w:rsid w:val="1C8DF029"/>
    <w:rsid w:val="1DCCE9C4"/>
    <w:rsid w:val="1F0BF9A6"/>
    <w:rsid w:val="202F18F3"/>
    <w:rsid w:val="230B01C7"/>
    <w:rsid w:val="2443CA55"/>
    <w:rsid w:val="2463E73B"/>
    <w:rsid w:val="24C4C7EA"/>
    <w:rsid w:val="296E5671"/>
    <w:rsid w:val="2DFE1D7D"/>
    <w:rsid w:val="311BB39E"/>
    <w:rsid w:val="3428CD35"/>
    <w:rsid w:val="3479B10C"/>
    <w:rsid w:val="39BA96D1"/>
    <w:rsid w:val="3A717DEC"/>
    <w:rsid w:val="40716777"/>
    <w:rsid w:val="4263D1AD"/>
    <w:rsid w:val="44CFD7E0"/>
    <w:rsid w:val="45127DFA"/>
    <w:rsid w:val="4627B41D"/>
    <w:rsid w:val="463C9A73"/>
    <w:rsid w:val="467FE5DA"/>
    <w:rsid w:val="4ACE6339"/>
    <w:rsid w:val="4CF23704"/>
    <w:rsid w:val="4D95657A"/>
    <w:rsid w:val="4DD53991"/>
    <w:rsid w:val="50DD976C"/>
    <w:rsid w:val="541F7B54"/>
    <w:rsid w:val="55174F7D"/>
    <w:rsid w:val="5554950D"/>
    <w:rsid w:val="579DAC97"/>
    <w:rsid w:val="5B96A864"/>
    <w:rsid w:val="5E84C5F2"/>
    <w:rsid w:val="601224F8"/>
    <w:rsid w:val="6036AD5F"/>
    <w:rsid w:val="648E40AA"/>
    <w:rsid w:val="656B4D9A"/>
    <w:rsid w:val="65BD2B74"/>
    <w:rsid w:val="68C10839"/>
    <w:rsid w:val="69972FBF"/>
    <w:rsid w:val="69C305FB"/>
    <w:rsid w:val="6DC2E78E"/>
    <w:rsid w:val="6EE59D76"/>
    <w:rsid w:val="6EF5D782"/>
    <w:rsid w:val="6F0FF1C3"/>
    <w:rsid w:val="706B21F8"/>
    <w:rsid w:val="70DD4324"/>
    <w:rsid w:val="74C661E5"/>
    <w:rsid w:val="7599C268"/>
    <w:rsid w:val="77A9E072"/>
    <w:rsid w:val="7BABE0B6"/>
    <w:rsid w:val="7BF0A78A"/>
    <w:rsid w:val="7C8AE3D7"/>
    <w:rsid w:val="7EB8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0EA2"/>
  <w15:chartTrackingRefBased/>
  <w15:docId w15:val="{58B3E4F3-8ACC-496D-827E-D9B18F0A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E28"/>
    <w:rPr>
      <w:rFonts w:ascii="Aptos" w:hAnsi="Aptos"/>
    </w:rPr>
  </w:style>
  <w:style w:type="paragraph" w:styleId="Heading1">
    <w:name w:val="heading 1"/>
    <w:basedOn w:val="Normal"/>
    <w:next w:val="Normal"/>
    <w:link w:val="Heading1Char"/>
    <w:autoRedefine/>
    <w:uiPriority w:val="9"/>
    <w:qFormat/>
    <w:rsid w:val="003436CF"/>
    <w:pPr>
      <w:keepNext/>
      <w:keepLines/>
      <w:numPr>
        <w:numId w:val="9"/>
      </w:numPr>
      <w:outlineLvl w:val="0"/>
    </w:pPr>
    <w:rPr>
      <w:rFonts w:ascii="Aptos Display" w:eastAsia="Aptos" w:hAnsi="Aptos Display" w:cs="Aptos"/>
      <w:b/>
      <w:bCs/>
      <w:color w:val="006666"/>
      <w:sz w:val="36"/>
      <w:szCs w:val="36"/>
    </w:rPr>
  </w:style>
  <w:style w:type="paragraph" w:styleId="Heading2">
    <w:name w:val="heading 2"/>
    <w:basedOn w:val="Normal"/>
    <w:next w:val="Normal"/>
    <w:link w:val="Heading2Char"/>
    <w:autoRedefine/>
    <w:uiPriority w:val="9"/>
    <w:unhideWhenUsed/>
    <w:qFormat/>
    <w:rsid w:val="003436CF"/>
    <w:pPr>
      <w:numPr>
        <w:ilvl w:val="1"/>
        <w:numId w:val="9"/>
      </w:numPr>
      <w:outlineLvl w:val="1"/>
    </w:pPr>
    <w:rPr>
      <w:b/>
      <w:bCs/>
      <w:color w:val="660066"/>
      <w:sz w:val="32"/>
      <w:szCs w:val="32"/>
    </w:rPr>
  </w:style>
  <w:style w:type="paragraph" w:styleId="Heading3">
    <w:name w:val="heading 3"/>
    <w:basedOn w:val="Normal"/>
    <w:next w:val="Normal"/>
    <w:link w:val="Heading3Char"/>
    <w:autoRedefine/>
    <w:uiPriority w:val="9"/>
    <w:unhideWhenUsed/>
    <w:qFormat/>
    <w:rsid w:val="003436CF"/>
    <w:pPr>
      <w:keepNext/>
      <w:keepLines/>
      <w:numPr>
        <w:ilvl w:val="2"/>
        <w:numId w:val="9"/>
      </w:numPr>
      <w:outlineLvl w:val="2"/>
    </w:pPr>
    <w:rPr>
      <w:rFonts w:asciiTheme="majorHAnsi" w:eastAsiaTheme="majorEastAsia" w:hAnsiTheme="majorHAnsi" w:cstheme="majorBidi"/>
      <w:b/>
      <w:color w:val="006666"/>
      <w:sz w:val="24"/>
      <w:szCs w:val="24"/>
    </w:rPr>
  </w:style>
  <w:style w:type="paragraph" w:styleId="Heading4">
    <w:name w:val="heading 4"/>
    <w:basedOn w:val="Heading2"/>
    <w:next w:val="Normal"/>
    <w:link w:val="Heading4Char"/>
    <w:autoRedefine/>
    <w:uiPriority w:val="9"/>
    <w:unhideWhenUsed/>
    <w:qFormat/>
    <w:rsid w:val="003436CF"/>
    <w:pPr>
      <w:keepNext/>
      <w:keepLines/>
      <w:numPr>
        <w:ilvl w:val="3"/>
        <w:numId w:val="7"/>
      </w:numPr>
      <w:tabs>
        <w:tab w:val="clear" w:pos="2880"/>
      </w:tabs>
      <w:ind w:left="0" w:firstLine="0"/>
      <w:outlineLvl w:val="3"/>
    </w:pPr>
    <w:rPr>
      <w:rFonts w:asciiTheme="majorHAnsi" w:eastAsia="Aptos" w:hAnsiTheme="majorHAnsi" w:cs="Aptos"/>
    </w:rPr>
  </w:style>
  <w:style w:type="paragraph" w:styleId="Heading5">
    <w:name w:val="heading 5"/>
    <w:basedOn w:val="Heading4"/>
    <w:next w:val="Normal"/>
    <w:link w:val="Heading5Char"/>
    <w:autoRedefine/>
    <w:uiPriority w:val="9"/>
    <w:unhideWhenUsed/>
    <w:qFormat/>
    <w:rsid w:val="003436CF"/>
    <w:pPr>
      <w:numPr>
        <w:ilvl w:val="4"/>
        <w:numId w:val="8"/>
      </w:numPr>
      <w:outlineLvl w:val="4"/>
    </w:pPr>
    <w:rPr>
      <w:rFonts w:ascii="Aptos" w:hAnsi="Aptos"/>
      <w:sz w:val="28"/>
      <w:szCs w:val="28"/>
    </w:rPr>
  </w:style>
  <w:style w:type="paragraph" w:styleId="Heading6">
    <w:name w:val="heading 6"/>
    <w:basedOn w:val="Normal"/>
    <w:next w:val="Normal"/>
    <w:link w:val="Heading6Char"/>
    <w:autoRedefine/>
    <w:uiPriority w:val="9"/>
    <w:semiHidden/>
    <w:unhideWhenUsed/>
    <w:qFormat/>
    <w:rsid w:val="00F8290C"/>
    <w:pPr>
      <w:keepNext/>
      <w:keepLines/>
      <w:numPr>
        <w:ilvl w:val="5"/>
        <w:numId w:val="8"/>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C06E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E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E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84B"/>
    <w:rPr>
      <w:rFonts w:ascii="Aptos Display" w:eastAsia="Aptos" w:hAnsi="Aptos Display" w:cs="Aptos"/>
      <w:b/>
      <w:bCs/>
      <w:color w:val="006666"/>
      <w:sz w:val="36"/>
      <w:szCs w:val="36"/>
    </w:rPr>
  </w:style>
  <w:style w:type="character" w:customStyle="1" w:styleId="Heading2Char">
    <w:name w:val="Heading 2 Char"/>
    <w:basedOn w:val="DefaultParagraphFont"/>
    <w:link w:val="Heading2"/>
    <w:uiPriority w:val="9"/>
    <w:rsid w:val="00AE584B"/>
    <w:rPr>
      <w:rFonts w:ascii="Aptos" w:hAnsi="Aptos"/>
      <w:b/>
      <w:bCs/>
      <w:color w:val="660066"/>
      <w:sz w:val="32"/>
      <w:szCs w:val="32"/>
    </w:rPr>
  </w:style>
  <w:style w:type="paragraph" w:styleId="Title">
    <w:name w:val="Title"/>
    <w:basedOn w:val="Normal"/>
    <w:next w:val="Normal"/>
    <w:link w:val="TitleChar"/>
    <w:autoRedefine/>
    <w:uiPriority w:val="10"/>
    <w:qFormat/>
    <w:rsid w:val="00CC19AC"/>
    <w:pPr>
      <w:jc w:val="center"/>
    </w:pPr>
    <w:rPr>
      <w:rFonts w:asciiTheme="majorHAnsi" w:hAnsiTheme="majorHAnsi"/>
      <w:color w:val="660066"/>
      <w:sz w:val="36"/>
      <w:szCs w:val="36"/>
    </w:rPr>
  </w:style>
  <w:style w:type="character" w:customStyle="1" w:styleId="TitleChar">
    <w:name w:val="Title Char"/>
    <w:basedOn w:val="DefaultParagraphFont"/>
    <w:link w:val="Title"/>
    <w:uiPriority w:val="10"/>
    <w:rsid w:val="00CC19AC"/>
    <w:rPr>
      <w:rFonts w:asciiTheme="majorHAnsi" w:hAnsiTheme="majorHAnsi"/>
      <w:color w:val="660066"/>
      <w:sz w:val="36"/>
      <w:szCs w:val="36"/>
    </w:rPr>
  </w:style>
  <w:style w:type="character" w:customStyle="1" w:styleId="Heading3Char">
    <w:name w:val="Heading 3 Char"/>
    <w:basedOn w:val="DefaultParagraphFont"/>
    <w:link w:val="Heading3"/>
    <w:uiPriority w:val="9"/>
    <w:rsid w:val="00F8290C"/>
    <w:rPr>
      <w:rFonts w:asciiTheme="majorHAnsi" w:eastAsiaTheme="majorEastAsia" w:hAnsiTheme="majorHAnsi" w:cstheme="majorBidi"/>
      <w:b/>
      <w:color w:val="006666"/>
      <w:sz w:val="24"/>
      <w:szCs w:val="24"/>
    </w:rPr>
  </w:style>
  <w:style w:type="character" w:customStyle="1" w:styleId="Heading4Char">
    <w:name w:val="Heading 4 Char"/>
    <w:basedOn w:val="DefaultParagraphFont"/>
    <w:link w:val="Heading4"/>
    <w:uiPriority w:val="9"/>
    <w:rsid w:val="003436CF"/>
    <w:rPr>
      <w:rFonts w:asciiTheme="majorHAnsi" w:eastAsia="Aptos" w:hAnsiTheme="majorHAnsi" w:cs="Aptos"/>
      <w:b/>
      <w:bCs/>
      <w:color w:val="660066"/>
      <w:sz w:val="32"/>
      <w:szCs w:val="32"/>
    </w:rPr>
  </w:style>
  <w:style w:type="paragraph" w:styleId="TOCHeading">
    <w:name w:val="TOC Heading"/>
    <w:basedOn w:val="Heading1"/>
    <w:next w:val="Normal"/>
    <w:uiPriority w:val="39"/>
    <w:unhideWhenUsed/>
    <w:qFormat/>
    <w:rsid w:val="00714E21"/>
    <w:pPr>
      <w:spacing w:line="259" w:lineRule="auto"/>
      <w:outlineLvl w:val="9"/>
    </w:pPr>
    <w:rPr>
      <w:rFonts w:asciiTheme="minorHAnsi" w:eastAsiaTheme="majorEastAsia" w:hAnsiTheme="minorHAnsi" w:cstheme="majorBidi"/>
      <w:color w:val="0F4761" w:themeColor="accent1" w:themeShade="BF"/>
      <w:szCs w:val="32"/>
    </w:rPr>
  </w:style>
  <w:style w:type="character" w:customStyle="1" w:styleId="Heading5Char">
    <w:name w:val="Heading 5 Char"/>
    <w:basedOn w:val="DefaultParagraphFont"/>
    <w:link w:val="Heading5"/>
    <w:uiPriority w:val="9"/>
    <w:rsid w:val="003436CF"/>
    <w:rPr>
      <w:rFonts w:ascii="Aptos" w:eastAsia="Aptos" w:hAnsi="Aptos" w:cs="Aptos"/>
      <w:b/>
      <w:bCs/>
      <w:color w:val="660066"/>
      <w:sz w:val="28"/>
      <w:szCs w:val="28"/>
    </w:rPr>
  </w:style>
  <w:style w:type="character" w:styleId="Hyperlink">
    <w:name w:val="Hyperlink"/>
    <w:basedOn w:val="DefaultParagraphFont"/>
    <w:uiPriority w:val="99"/>
    <w:unhideWhenUsed/>
    <w:qFormat/>
    <w:rsid w:val="00073D27"/>
    <w:rPr>
      <w:color w:val="0000FF"/>
      <w:u w:val="single"/>
    </w:rPr>
  </w:style>
  <w:style w:type="paragraph" w:styleId="FootnoteText">
    <w:name w:val="footnote text"/>
    <w:basedOn w:val="Normal"/>
    <w:link w:val="FootnoteTextChar"/>
    <w:autoRedefine/>
    <w:uiPriority w:val="99"/>
    <w:semiHidden/>
    <w:unhideWhenUsed/>
    <w:qFormat/>
    <w:rsid w:val="00AE584B"/>
    <w:rPr>
      <w:sz w:val="20"/>
      <w:szCs w:val="20"/>
    </w:rPr>
  </w:style>
  <w:style w:type="character" w:customStyle="1" w:styleId="FootnoteTextChar">
    <w:name w:val="Footnote Text Char"/>
    <w:basedOn w:val="DefaultParagraphFont"/>
    <w:link w:val="FootnoteText"/>
    <w:uiPriority w:val="99"/>
    <w:semiHidden/>
    <w:rsid w:val="00AE584B"/>
    <w:rPr>
      <w:sz w:val="20"/>
      <w:szCs w:val="20"/>
    </w:rPr>
  </w:style>
  <w:style w:type="character" w:customStyle="1" w:styleId="Heading6Char">
    <w:name w:val="Heading 6 Char"/>
    <w:basedOn w:val="DefaultParagraphFont"/>
    <w:link w:val="Heading6"/>
    <w:uiPriority w:val="9"/>
    <w:semiHidden/>
    <w:rsid w:val="00F8290C"/>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semiHidden/>
    <w:rsid w:val="00C06E28"/>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C06E28"/>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C06E28"/>
    <w:rPr>
      <w:rFonts w:eastAsiaTheme="majorEastAsia" w:cstheme="majorBidi"/>
      <w:color w:val="272727" w:themeColor="text1" w:themeTint="D8"/>
      <w:kern w:val="0"/>
      <w14:ligatures w14:val="none"/>
    </w:rPr>
  </w:style>
  <w:style w:type="paragraph" w:styleId="Subtitle">
    <w:name w:val="Subtitle"/>
    <w:basedOn w:val="Normal"/>
    <w:next w:val="Normal"/>
    <w:link w:val="SubtitleChar"/>
    <w:uiPriority w:val="11"/>
    <w:qFormat/>
    <w:rsid w:val="00C06E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E28"/>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06E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6E28"/>
    <w:rPr>
      <w:rFonts w:eastAsiaTheme="minorEastAsia"/>
      <w:i/>
      <w:iCs/>
      <w:color w:val="404040" w:themeColor="text1" w:themeTint="BF"/>
      <w:kern w:val="0"/>
      <w14:ligatures w14:val="none"/>
    </w:rPr>
  </w:style>
  <w:style w:type="paragraph" w:styleId="ListParagraph">
    <w:name w:val="List Paragraph"/>
    <w:basedOn w:val="Normal"/>
    <w:uiPriority w:val="34"/>
    <w:qFormat/>
    <w:rsid w:val="00C06E28"/>
    <w:pPr>
      <w:ind w:left="720"/>
      <w:contextualSpacing/>
    </w:pPr>
  </w:style>
  <w:style w:type="character" w:styleId="IntenseEmphasis">
    <w:name w:val="Intense Emphasis"/>
    <w:basedOn w:val="DefaultParagraphFont"/>
    <w:uiPriority w:val="21"/>
    <w:qFormat/>
    <w:rsid w:val="00C06E28"/>
    <w:rPr>
      <w:i/>
      <w:iCs/>
      <w:color w:val="0F4761" w:themeColor="accent1" w:themeShade="BF"/>
    </w:rPr>
  </w:style>
  <w:style w:type="paragraph" w:styleId="IntenseQuote">
    <w:name w:val="Intense Quote"/>
    <w:basedOn w:val="Normal"/>
    <w:next w:val="Normal"/>
    <w:link w:val="IntenseQuoteChar"/>
    <w:uiPriority w:val="30"/>
    <w:qFormat/>
    <w:rsid w:val="00C06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E28"/>
    <w:rPr>
      <w:rFonts w:eastAsiaTheme="minorEastAsia"/>
      <w:i/>
      <w:iCs/>
      <w:color w:val="0F4761" w:themeColor="accent1" w:themeShade="BF"/>
      <w:kern w:val="0"/>
      <w14:ligatures w14:val="none"/>
    </w:rPr>
  </w:style>
  <w:style w:type="character" w:styleId="IntenseReference">
    <w:name w:val="Intense Reference"/>
    <w:basedOn w:val="DefaultParagraphFont"/>
    <w:uiPriority w:val="32"/>
    <w:qFormat/>
    <w:rsid w:val="00C06E28"/>
    <w:rPr>
      <w:b/>
      <w:bCs/>
      <w:smallCaps/>
      <w:color w:val="0F4761" w:themeColor="accent1" w:themeShade="BF"/>
      <w:spacing w:val="5"/>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C2808"/>
    <w:pPr>
      <w:tabs>
        <w:tab w:val="center" w:pos="4680"/>
        <w:tab w:val="right" w:pos="9360"/>
      </w:tabs>
    </w:pPr>
  </w:style>
  <w:style w:type="character" w:customStyle="1" w:styleId="HeaderChar">
    <w:name w:val="Header Char"/>
    <w:basedOn w:val="DefaultParagraphFont"/>
    <w:link w:val="Header"/>
    <w:uiPriority w:val="99"/>
    <w:rsid w:val="007C2808"/>
    <w:rPr>
      <w:rFonts w:ascii="Aptos" w:hAnsi="Aptos"/>
    </w:rPr>
  </w:style>
  <w:style w:type="paragraph" w:styleId="Footer">
    <w:name w:val="footer"/>
    <w:basedOn w:val="Normal"/>
    <w:link w:val="FooterChar"/>
    <w:uiPriority w:val="99"/>
    <w:unhideWhenUsed/>
    <w:rsid w:val="007C2808"/>
    <w:pPr>
      <w:tabs>
        <w:tab w:val="center" w:pos="4680"/>
        <w:tab w:val="right" w:pos="9360"/>
      </w:tabs>
    </w:pPr>
  </w:style>
  <w:style w:type="character" w:customStyle="1" w:styleId="FooterChar">
    <w:name w:val="Footer Char"/>
    <w:basedOn w:val="DefaultParagraphFont"/>
    <w:link w:val="Footer"/>
    <w:uiPriority w:val="99"/>
    <w:rsid w:val="007C2808"/>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ites.ed.gov/idea/regs/c/h/303.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5BC79-944F-4228-A242-9E29EC086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56be0-c294-43de-afe1-0aa1eca57840"/>
    <ds:schemaRef ds:uri="93a2e542-a916-4ab4-932f-f5e77b655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35BD8-C53A-4D1B-8810-3B0B27B6CD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429</Words>
  <Characters>2446</Characters>
  <Application>Microsoft Office Word</Application>
  <DocSecurity>0</DocSecurity>
  <Lines>20</Lines>
  <Paragraphs>5</Paragraphs>
  <ScaleCrop>false</ScaleCrop>
  <Company>VITA</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Richard (DBHDS)</dc:creator>
  <cp:keywords/>
  <dc:description/>
  <cp:lastModifiedBy>Corbett, Richard (DBHDS)</cp:lastModifiedBy>
  <cp:revision>74</cp:revision>
  <dcterms:created xsi:type="dcterms:W3CDTF">2024-08-14T20:20:00Z</dcterms:created>
  <dcterms:modified xsi:type="dcterms:W3CDTF">2024-10-10T14:38:00Z</dcterms:modified>
</cp:coreProperties>
</file>